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188C8E" w14:textId="01681CC5" w:rsidR="00BB3F63" w:rsidRPr="00F25CEA" w:rsidRDefault="00F151B8" w:rsidP="00F25CEA">
      <w:pPr>
        <w:jc w:val="center"/>
        <w:rPr>
          <w:rFonts w:ascii="Times" w:hAnsi="Times"/>
          <w:b/>
          <w:lang w:val="fr-FR"/>
        </w:rPr>
      </w:pPr>
      <w:r w:rsidRPr="00F25CEA">
        <w:rPr>
          <w:rFonts w:ascii="Times" w:hAnsi="Times"/>
          <w:b/>
          <w:lang w:val="fr-FR"/>
        </w:rPr>
        <w:t xml:space="preserve">Rapport d’activités </w:t>
      </w:r>
      <w:r w:rsidR="00BB3F63" w:rsidRPr="00F25CEA">
        <w:rPr>
          <w:rFonts w:ascii="Times" w:hAnsi="Times"/>
          <w:b/>
          <w:lang w:val="fr-FR"/>
        </w:rPr>
        <w:t>de la Fondation UVSQ</w:t>
      </w:r>
    </w:p>
    <w:p w14:paraId="13D4EBD2" w14:textId="1224565C" w:rsidR="00A25992" w:rsidRPr="00F25CEA" w:rsidRDefault="00BB3F63" w:rsidP="00F25CEA">
      <w:pPr>
        <w:pBdr>
          <w:bottom w:val="single" w:sz="4" w:space="1" w:color="auto"/>
        </w:pBdr>
        <w:jc w:val="center"/>
        <w:rPr>
          <w:rFonts w:ascii="Times" w:hAnsi="Times"/>
          <w:b/>
          <w:lang w:val="fr-FR"/>
        </w:rPr>
      </w:pPr>
      <w:proofErr w:type="gramStart"/>
      <w:r w:rsidRPr="00F25CEA">
        <w:rPr>
          <w:rFonts w:ascii="Times" w:hAnsi="Times"/>
          <w:b/>
          <w:lang w:val="fr-FR"/>
        </w:rPr>
        <w:t>pour</w:t>
      </w:r>
      <w:proofErr w:type="gramEnd"/>
      <w:r w:rsidRPr="00F25CEA">
        <w:rPr>
          <w:rFonts w:ascii="Times" w:hAnsi="Times"/>
          <w:b/>
          <w:lang w:val="fr-FR"/>
        </w:rPr>
        <w:t xml:space="preserve"> la période du 1</w:t>
      </w:r>
      <w:r w:rsidRPr="00F25CEA">
        <w:rPr>
          <w:rFonts w:ascii="Times" w:hAnsi="Times"/>
          <w:b/>
          <w:vertAlign w:val="superscript"/>
          <w:lang w:val="fr-FR"/>
        </w:rPr>
        <w:t>er</w:t>
      </w:r>
      <w:r w:rsidRPr="00F25CEA">
        <w:rPr>
          <w:rFonts w:ascii="Times" w:hAnsi="Times"/>
          <w:b/>
          <w:lang w:val="fr-FR"/>
        </w:rPr>
        <w:t xml:space="preserve"> janvier au 31 décembre </w:t>
      </w:r>
      <w:r w:rsidR="00F151B8" w:rsidRPr="00F25CEA">
        <w:rPr>
          <w:rFonts w:ascii="Times" w:hAnsi="Times"/>
          <w:b/>
          <w:lang w:val="fr-FR"/>
        </w:rPr>
        <w:t>2015</w:t>
      </w:r>
    </w:p>
    <w:p w14:paraId="6A678EA9" w14:textId="77777777" w:rsidR="00BB3F63" w:rsidRDefault="00BB3F63">
      <w:pPr>
        <w:rPr>
          <w:rFonts w:ascii="Times" w:hAnsi="Times"/>
          <w:lang w:val="fr-FR"/>
        </w:rPr>
      </w:pPr>
    </w:p>
    <w:p w14:paraId="1711C205" w14:textId="77777777" w:rsidR="00F25CEA" w:rsidRDefault="00F25CEA">
      <w:pPr>
        <w:rPr>
          <w:rFonts w:ascii="Times" w:hAnsi="Times"/>
          <w:lang w:val="fr-FR"/>
        </w:rPr>
      </w:pPr>
    </w:p>
    <w:p w14:paraId="21D8CC27" w14:textId="77777777" w:rsidR="00BB3F63" w:rsidRPr="00BB3F63" w:rsidRDefault="00BB3F63" w:rsidP="00BB3F63">
      <w:pPr>
        <w:pStyle w:val="Paragraphedeliste"/>
        <w:numPr>
          <w:ilvl w:val="0"/>
          <w:numId w:val="4"/>
        </w:numPr>
        <w:rPr>
          <w:rFonts w:ascii="Times" w:hAnsi="Times"/>
          <w:lang w:val="fr-FR"/>
        </w:rPr>
      </w:pPr>
      <w:r w:rsidRPr="00BB3F63">
        <w:rPr>
          <w:rFonts w:ascii="Times" w:hAnsi="Times"/>
          <w:lang w:val="fr-FR"/>
        </w:rPr>
        <w:t xml:space="preserve">Introduction </w:t>
      </w:r>
    </w:p>
    <w:p w14:paraId="151CB715" w14:textId="77777777" w:rsidR="00BB3F63" w:rsidRPr="00BB3F63" w:rsidRDefault="00BB3F63" w:rsidP="00BB3F63">
      <w:pPr>
        <w:pStyle w:val="Paragraphedeliste"/>
        <w:numPr>
          <w:ilvl w:val="0"/>
          <w:numId w:val="4"/>
        </w:numPr>
        <w:rPr>
          <w:rFonts w:ascii="Times" w:hAnsi="Times"/>
          <w:lang w:val="fr-FR"/>
        </w:rPr>
      </w:pPr>
      <w:r w:rsidRPr="00BB3F63">
        <w:rPr>
          <w:rFonts w:ascii="Times" w:hAnsi="Times"/>
          <w:lang w:val="fr-FR"/>
        </w:rPr>
        <w:t>Bilan de la collecte de fonds</w:t>
      </w:r>
    </w:p>
    <w:p w14:paraId="09A85BFA" w14:textId="77777777" w:rsidR="00BB3F63" w:rsidRPr="00BB3F63" w:rsidRDefault="00BB3F63" w:rsidP="00BB3F63">
      <w:pPr>
        <w:pStyle w:val="Paragraphedeliste"/>
        <w:numPr>
          <w:ilvl w:val="0"/>
          <w:numId w:val="4"/>
        </w:numPr>
        <w:rPr>
          <w:rFonts w:ascii="Times" w:hAnsi="Times"/>
          <w:lang w:val="fr-FR"/>
        </w:rPr>
      </w:pPr>
      <w:r w:rsidRPr="00BB3F63">
        <w:rPr>
          <w:rFonts w:ascii="Times" w:hAnsi="Times"/>
          <w:lang w:val="fr-FR"/>
        </w:rPr>
        <w:t>Profils des donateurs</w:t>
      </w:r>
    </w:p>
    <w:p w14:paraId="1ADD33E7" w14:textId="77777777" w:rsidR="00BB3F63" w:rsidRPr="00BB3F63" w:rsidRDefault="00BB3F63" w:rsidP="00BB3F63">
      <w:pPr>
        <w:pStyle w:val="Paragraphedeliste"/>
        <w:numPr>
          <w:ilvl w:val="0"/>
          <w:numId w:val="4"/>
        </w:numPr>
        <w:rPr>
          <w:rFonts w:ascii="Times" w:hAnsi="Times"/>
          <w:lang w:val="fr-FR"/>
        </w:rPr>
      </w:pPr>
      <w:r w:rsidRPr="00BB3F63">
        <w:rPr>
          <w:rFonts w:ascii="Times" w:hAnsi="Times"/>
          <w:lang w:val="fr-FR"/>
        </w:rPr>
        <w:t>Projets soutenus</w:t>
      </w:r>
    </w:p>
    <w:p w14:paraId="331CF398" w14:textId="77777777" w:rsidR="00BB3F63" w:rsidRPr="00BB3F63" w:rsidRDefault="00BB3F63" w:rsidP="00BB3F63">
      <w:pPr>
        <w:pStyle w:val="Paragraphedeliste"/>
        <w:numPr>
          <w:ilvl w:val="0"/>
          <w:numId w:val="4"/>
        </w:numPr>
        <w:rPr>
          <w:rFonts w:ascii="Times" w:hAnsi="Times"/>
          <w:lang w:val="fr-FR"/>
        </w:rPr>
      </w:pPr>
      <w:r w:rsidRPr="00BB3F63">
        <w:rPr>
          <w:rFonts w:ascii="Times" w:hAnsi="Times"/>
          <w:lang w:val="fr-FR"/>
        </w:rPr>
        <w:t>Dépenses de la fondation</w:t>
      </w:r>
    </w:p>
    <w:p w14:paraId="78B9DD6A" w14:textId="77777777" w:rsidR="00BB3F63" w:rsidRPr="00BB3F63" w:rsidRDefault="00BB3F63" w:rsidP="00BB3F63">
      <w:pPr>
        <w:pStyle w:val="Paragraphedeliste"/>
        <w:numPr>
          <w:ilvl w:val="0"/>
          <w:numId w:val="4"/>
        </w:numPr>
        <w:rPr>
          <w:rFonts w:ascii="Times" w:hAnsi="Times"/>
          <w:lang w:val="fr-FR"/>
        </w:rPr>
      </w:pPr>
      <w:r>
        <w:rPr>
          <w:rFonts w:ascii="Times" w:hAnsi="Times"/>
          <w:lang w:val="fr-FR"/>
        </w:rPr>
        <w:t>Ge</w:t>
      </w:r>
      <w:r w:rsidRPr="00BB3F63">
        <w:rPr>
          <w:rFonts w:ascii="Times" w:hAnsi="Times"/>
          <w:lang w:val="fr-FR"/>
        </w:rPr>
        <w:t>s</w:t>
      </w:r>
      <w:r>
        <w:rPr>
          <w:rFonts w:ascii="Times" w:hAnsi="Times"/>
          <w:lang w:val="fr-FR"/>
        </w:rPr>
        <w:t>t</w:t>
      </w:r>
      <w:r w:rsidRPr="00BB3F63">
        <w:rPr>
          <w:rFonts w:ascii="Times" w:hAnsi="Times"/>
          <w:lang w:val="fr-FR"/>
        </w:rPr>
        <w:t>ion des projets</w:t>
      </w:r>
    </w:p>
    <w:p w14:paraId="0D702B7D" w14:textId="77777777" w:rsidR="00BB3F63" w:rsidRPr="00BB3F63" w:rsidRDefault="00BB3F63" w:rsidP="00BB3F63">
      <w:pPr>
        <w:pStyle w:val="Paragraphedeliste"/>
        <w:numPr>
          <w:ilvl w:val="0"/>
          <w:numId w:val="4"/>
        </w:numPr>
        <w:rPr>
          <w:rFonts w:ascii="Times" w:hAnsi="Times"/>
          <w:lang w:val="fr-FR"/>
        </w:rPr>
      </w:pPr>
      <w:r w:rsidRPr="00BB3F63">
        <w:rPr>
          <w:rFonts w:ascii="Times" w:hAnsi="Times"/>
          <w:lang w:val="fr-FR"/>
        </w:rPr>
        <w:t>Vie de la Fondation</w:t>
      </w:r>
    </w:p>
    <w:p w14:paraId="1322FF1A" w14:textId="77777777" w:rsidR="00BB3F63" w:rsidRDefault="00BB3F63">
      <w:pPr>
        <w:rPr>
          <w:rFonts w:ascii="Times" w:hAnsi="Times"/>
          <w:lang w:val="fr-FR"/>
        </w:rPr>
      </w:pPr>
    </w:p>
    <w:p w14:paraId="1F4CFA72" w14:textId="77777777" w:rsidR="00F25CEA" w:rsidRPr="00BB3F63" w:rsidRDefault="00F25CEA">
      <w:pPr>
        <w:rPr>
          <w:rFonts w:ascii="Times" w:hAnsi="Times"/>
          <w:lang w:val="fr-FR"/>
        </w:rPr>
      </w:pPr>
    </w:p>
    <w:p w14:paraId="40A1558C" w14:textId="77777777" w:rsidR="00F151B8" w:rsidRPr="009A42C6" w:rsidRDefault="00BB3F63">
      <w:pPr>
        <w:rPr>
          <w:rFonts w:ascii="Times" w:hAnsi="Times"/>
          <w:b/>
          <w:lang w:val="fr-FR"/>
        </w:rPr>
      </w:pPr>
      <w:r w:rsidRPr="009A42C6">
        <w:rPr>
          <w:rFonts w:ascii="Times" w:hAnsi="Times"/>
          <w:b/>
          <w:lang w:val="fr-FR"/>
        </w:rPr>
        <w:t xml:space="preserve">1. Introduction </w:t>
      </w:r>
    </w:p>
    <w:p w14:paraId="085BB22E" w14:textId="77777777" w:rsidR="00BB3F63" w:rsidRPr="00F25CEA" w:rsidRDefault="00BB3F63">
      <w:pPr>
        <w:rPr>
          <w:rFonts w:ascii="Times" w:hAnsi="Times"/>
          <w:lang w:val="fr-FR"/>
        </w:rPr>
      </w:pPr>
      <w:r w:rsidRPr="00F25CEA">
        <w:rPr>
          <w:rFonts w:ascii="Times" w:hAnsi="Times"/>
          <w:lang w:val="fr-FR"/>
        </w:rPr>
        <w:t>La Fondation UVSQ est une fondation partenariale créée le 23 juin 2011. Elle a pour objet</w:t>
      </w:r>
    </w:p>
    <w:p w14:paraId="02C084B4" w14:textId="739E2C97" w:rsidR="00F25CEA" w:rsidRPr="00F25CEA" w:rsidRDefault="00F25CEA" w:rsidP="00F25CEA">
      <w:pPr>
        <w:widowControl w:val="0"/>
        <w:autoSpaceDE w:val="0"/>
        <w:autoSpaceDN w:val="0"/>
        <w:adjustRightInd w:val="0"/>
        <w:spacing w:after="200"/>
        <w:rPr>
          <w:rFonts w:ascii="Times" w:hAnsi="Times" w:cs="Helvetica Neue"/>
          <w:lang w:val="fr-FR"/>
        </w:rPr>
      </w:pPr>
      <w:proofErr w:type="gramStart"/>
      <w:r w:rsidRPr="00F25CEA">
        <w:rPr>
          <w:rFonts w:ascii="Times" w:hAnsi="Times" w:cs="Helvetica Neue"/>
          <w:lang w:val="fr-FR"/>
        </w:rPr>
        <w:t>de</w:t>
      </w:r>
      <w:proofErr w:type="gramEnd"/>
      <w:r w:rsidRPr="00F25CEA">
        <w:rPr>
          <w:rFonts w:ascii="Times" w:hAnsi="Times" w:cs="Helvetica Neue"/>
          <w:lang w:val="fr-FR"/>
        </w:rPr>
        <w:t xml:space="preserve"> </w:t>
      </w:r>
      <w:r w:rsidRPr="00F25CEA">
        <w:rPr>
          <w:rFonts w:ascii="Times" w:hAnsi="Times" w:cs="Helvetica Neue"/>
          <w:bCs/>
          <w:lang w:val="fr-FR"/>
        </w:rPr>
        <w:t>contribuer directement ou indirectement au développement et à la promotion de l’université</w:t>
      </w:r>
      <w:r w:rsidRPr="00F25CEA">
        <w:rPr>
          <w:rFonts w:ascii="Times" w:hAnsi="Times" w:cs="Helvetica Neue"/>
          <w:lang w:val="fr-FR"/>
        </w:rPr>
        <w:t xml:space="preserve">, dans tous les domaines correspondant à ses missions, en </w:t>
      </w:r>
      <w:proofErr w:type="spellStart"/>
      <w:r w:rsidRPr="00F25CEA">
        <w:rPr>
          <w:rFonts w:ascii="Times" w:hAnsi="Times" w:cs="Helvetica Neue"/>
          <w:lang w:val="fr-FR"/>
        </w:rPr>
        <w:t>oeuvrant</w:t>
      </w:r>
      <w:proofErr w:type="spellEnd"/>
      <w:r w:rsidRPr="00F25CEA">
        <w:rPr>
          <w:rFonts w:ascii="Times" w:hAnsi="Times" w:cs="Helvetica Neue"/>
          <w:lang w:val="fr-FR"/>
        </w:rPr>
        <w:t xml:space="preserve"> notamment </w:t>
      </w:r>
      <w:r w:rsidRPr="00F25CEA">
        <w:rPr>
          <w:rFonts w:ascii="Times" w:hAnsi="Times" w:cs="Helvetica Neue"/>
          <w:bCs/>
          <w:lang w:val="fr-FR"/>
        </w:rPr>
        <w:t>dans les domaines prioritaires suivants</w:t>
      </w:r>
      <w:r w:rsidRPr="00F25CEA">
        <w:rPr>
          <w:rFonts w:ascii="Times" w:hAnsi="Times" w:cs="Helvetica Neue"/>
          <w:lang w:val="fr-FR"/>
        </w:rPr>
        <w:t xml:space="preserve"> :</w:t>
      </w:r>
    </w:p>
    <w:p w14:paraId="2EAF8F8F" w14:textId="77777777" w:rsidR="00F25CEA" w:rsidRPr="00F25CEA" w:rsidRDefault="00F25CEA" w:rsidP="00F25CEA">
      <w:pPr>
        <w:widowControl w:val="0"/>
        <w:numPr>
          <w:ilvl w:val="0"/>
          <w:numId w:val="9"/>
        </w:numPr>
        <w:tabs>
          <w:tab w:val="left" w:pos="220"/>
          <w:tab w:val="left" w:pos="720"/>
        </w:tabs>
        <w:autoSpaceDE w:val="0"/>
        <w:autoSpaceDN w:val="0"/>
        <w:adjustRightInd w:val="0"/>
        <w:rPr>
          <w:rFonts w:ascii="Times" w:hAnsi="Times" w:cs="Helvetica Neue"/>
          <w:lang w:val="fr-FR"/>
        </w:rPr>
      </w:pPr>
      <w:r w:rsidRPr="00F25CEA">
        <w:rPr>
          <w:rFonts w:ascii="Times" w:hAnsi="Times" w:cs="Helvetica Neue"/>
          <w:lang w:val="fr-FR"/>
        </w:rPr>
        <w:t>Soutenir et promouvoir la recherche et les avancées scientifiques dans ses domaines de compétence</w:t>
      </w:r>
    </w:p>
    <w:p w14:paraId="20233433" w14:textId="77777777" w:rsidR="00F25CEA" w:rsidRPr="00F25CEA" w:rsidRDefault="00F25CEA" w:rsidP="00F25CEA">
      <w:pPr>
        <w:widowControl w:val="0"/>
        <w:numPr>
          <w:ilvl w:val="0"/>
          <w:numId w:val="9"/>
        </w:numPr>
        <w:tabs>
          <w:tab w:val="left" w:pos="220"/>
          <w:tab w:val="left" w:pos="720"/>
        </w:tabs>
        <w:autoSpaceDE w:val="0"/>
        <w:autoSpaceDN w:val="0"/>
        <w:adjustRightInd w:val="0"/>
        <w:rPr>
          <w:rFonts w:ascii="Times" w:hAnsi="Times" w:cs="Helvetica Neue"/>
          <w:lang w:val="fr-FR"/>
        </w:rPr>
      </w:pPr>
      <w:r w:rsidRPr="00F25CEA">
        <w:rPr>
          <w:rFonts w:ascii="Times" w:hAnsi="Times" w:cs="Helvetica Neue"/>
          <w:lang w:val="fr-FR"/>
        </w:rPr>
        <w:t>Contribuer à dispenser un enseignement supérieur de qualité dans les Yvelines</w:t>
      </w:r>
    </w:p>
    <w:p w14:paraId="01964B71" w14:textId="77777777" w:rsidR="00F25CEA" w:rsidRPr="00F25CEA" w:rsidRDefault="00F25CEA" w:rsidP="00F25CEA">
      <w:pPr>
        <w:widowControl w:val="0"/>
        <w:numPr>
          <w:ilvl w:val="0"/>
          <w:numId w:val="9"/>
        </w:numPr>
        <w:tabs>
          <w:tab w:val="left" w:pos="220"/>
          <w:tab w:val="left" w:pos="720"/>
        </w:tabs>
        <w:autoSpaceDE w:val="0"/>
        <w:autoSpaceDN w:val="0"/>
        <w:adjustRightInd w:val="0"/>
        <w:rPr>
          <w:rFonts w:ascii="Times" w:hAnsi="Times" w:cs="Helvetica Neue"/>
          <w:lang w:val="fr-FR"/>
        </w:rPr>
      </w:pPr>
      <w:r w:rsidRPr="00F25CEA">
        <w:rPr>
          <w:rFonts w:ascii="Times" w:hAnsi="Times" w:cs="Helvetica Neue"/>
          <w:lang w:val="fr-FR"/>
        </w:rPr>
        <w:t>Améliorer la qualité de la vie et de l’accueil des étudiants et des enseignants-chercheurs</w:t>
      </w:r>
    </w:p>
    <w:p w14:paraId="7DD8E964" w14:textId="77777777" w:rsidR="00F25CEA" w:rsidRPr="00F25CEA" w:rsidRDefault="00F25CEA" w:rsidP="00F25CEA">
      <w:pPr>
        <w:widowControl w:val="0"/>
        <w:numPr>
          <w:ilvl w:val="0"/>
          <w:numId w:val="9"/>
        </w:numPr>
        <w:tabs>
          <w:tab w:val="left" w:pos="220"/>
          <w:tab w:val="left" w:pos="720"/>
        </w:tabs>
        <w:autoSpaceDE w:val="0"/>
        <w:autoSpaceDN w:val="0"/>
        <w:adjustRightInd w:val="0"/>
        <w:rPr>
          <w:rFonts w:ascii="Times" w:hAnsi="Times" w:cs="Helvetica Neue"/>
          <w:lang w:val="fr-FR"/>
        </w:rPr>
      </w:pPr>
      <w:r w:rsidRPr="00F25CEA">
        <w:rPr>
          <w:rFonts w:ascii="Times" w:hAnsi="Times" w:cs="Helvetica Neue"/>
          <w:lang w:val="fr-FR"/>
        </w:rPr>
        <w:t>Favoriser les partenariats, les échanges d’expériences et de compétences entre l’UVSQ et le monde économique</w:t>
      </w:r>
    </w:p>
    <w:p w14:paraId="057E9C24" w14:textId="77777777" w:rsidR="00F25CEA" w:rsidRPr="00F25CEA" w:rsidRDefault="00F25CEA" w:rsidP="00F25CEA">
      <w:pPr>
        <w:widowControl w:val="0"/>
        <w:numPr>
          <w:ilvl w:val="0"/>
          <w:numId w:val="9"/>
        </w:numPr>
        <w:tabs>
          <w:tab w:val="left" w:pos="220"/>
          <w:tab w:val="left" w:pos="720"/>
        </w:tabs>
        <w:autoSpaceDE w:val="0"/>
        <w:autoSpaceDN w:val="0"/>
        <w:adjustRightInd w:val="0"/>
        <w:rPr>
          <w:rFonts w:ascii="Times" w:hAnsi="Times" w:cs="Helvetica Neue"/>
          <w:lang w:val="fr-FR"/>
        </w:rPr>
      </w:pPr>
      <w:r w:rsidRPr="00F25CEA">
        <w:rPr>
          <w:rFonts w:ascii="Times" w:hAnsi="Times" w:cs="Helvetica Neue"/>
          <w:lang w:val="fr-FR"/>
        </w:rPr>
        <w:t>Favoriser l’insertion socioprofessionnelle des étudiants</w:t>
      </w:r>
    </w:p>
    <w:p w14:paraId="6538C500" w14:textId="77777777" w:rsidR="00F25CEA" w:rsidRPr="00F25CEA" w:rsidRDefault="00F25CEA" w:rsidP="00F25CEA">
      <w:pPr>
        <w:widowControl w:val="0"/>
        <w:numPr>
          <w:ilvl w:val="0"/>
          <w:numId w:val="9"/>
        </w:numPr>
        <w:tabs>
          <w:tab w:val="left" w:pos="220"/>
          <w:tab w:val="left" w:pos="720"/>
        </w:tabs>
        <w:autoSpaceDE w:val="0"/>
        <w:autoSpaceDN w:val="0"/>
        <w:adjustRightInd w:val="0"/>
        <w:rPr>
          <w:rFonts w:ascii="Times" w:hAnsi="Times" w:cs="Helvetica Neue"/>
          <w:lang w:val="fr-FR"/>
        </w:rPr>
      </w:pPr>
      <w:r w:rsidRPr="00F25CEA">
        <w:rPr>
          <w:rFonts w:ascii="Times" w:hAnsi="Times" w:cs="Helvetica Neue"/>
          <w:lang w:val="fr-FR"/>
        </w:rPr>
        <w:t>Développer le réseau des diplômés et amis de l’université</w:t>
      </w:r>
    </w:p>
    <w:p w14:paraId="4DEA8C7B" w14:textId="77777777" w:rsidR="00F25CEA" w:rsidRPr="00F25CEA" w:rsidRDefault="00F25CEA" w:rsidP="00F25CEA">
      <w:pPr>
        <w:widowControl w:val="0"/>
        <w:numPr>
          <w:ilvl w:val="0"/>
          <w:numId w:val="9"/>
        </w:numPr>
        <w:tabs>
          <w:tab w:val="left" w:pos="220"/>
          <w:tab w:val="left" w:pos="720"/>
        </w:tabs>
        <w:autoSpaceDE w:val="0"/>
        <w:autoSpaceDN w:val="0"/>
        <w:adjustRightInd w:val="0"/>
        <w:rPr>
          <w:rFonts w:ascii="Times" w:hAnsi="Times" w:cs="Helvetica Neue"/>
          <w:lang w:val="fr-FR"/>
        </w:rPr>
      </w:pPr>
      <w:r w:rsidRPr="00F25CEA">
        <w:rPr>
          <w:rFonts w:ascii="Times" w:hAnsi="Times" w:cs="Helvetica Neue"/>
          <w:lang w:val="fr-FR"/>
        </w:rPr>
        <w:t>Soutenir le développement de partenariats ou de coopérations à l’international</w:t>
      </w:r>
    </w:p>
    <w:p w14:paraId="3A1C31B6" w14:textId="77777777" w:rsidR="00F25CEA" w:rsidRPr="00F25CEA" w:rsidRDefault="00F25CEA" w:rsidP="00F25CEA">
      <w:pPr>
        <w:widowControl w:val="0"/>
        <w:numPr>
          <w:ilvl w:val="0"/>
          <w:numId w:val="9"/>
        </w:numPr>
        <w:tabs>
          <w:tab w:val="left" w:pos="220"/>
          <w:tab w:val="left" w:pos="720"/>
        </w:tabs>
        <w:autoSpaceDE w:val="0"/>
        <w:autoSpaceDN w:val="0"/>
        <w:adjustRightInd w:val="0"/>
        <w:rPr>
          <w:rFonts w:ascii="Times" w:hAnsi="Times" w:cs="Helvetica Neue"/>
          <w:lang w:val="fr-FR"/>
        </w:rPr>
      </w:pPr>
      <w:r w:rsidRPr="00F25CEA">
        <w:rPr>
          <w:rFonts w:ascii="Times" w:hAnsi="Times" w:cs="Helvetica Neue"/>
          <w:lang w:val="fr-FR"/>
        </w:rPr>
        <w:t>Contribuer à la valorisation du patrimoine scientifique, culturel et immobilier de l’UVSQ</w:t>
      </w:r>
    </w:p>
    <w:p w14:paraId="66ABE397" w14:textId="77777777" w:rsidR="00F25CEA" w:rsidRPr="00F25CEA" w:rsidRDefault="00F25CEA" w:rsidP="00F25CEA">
      <w:pPr>
        <w:widowControl w:val="0"/>
        <w:numPr>
          <w:ilvl w:val="0"/>
          <w:numId w:val="9"/>
        </w:numPr>
        <w:tabs>
          <w:tab w:val="left" w:pos="220"/>
          <w:tab w:val="left" w:pos="720"/>
        </w:tabs>
        <w:autoSpaceDE w:val="0"/>
        <w:autoSpaceDN w:val="0"/>
        <w:adjustRightInd w:val="0"/>
        <w:rPr>
          <w:rFonts w:ascii="Times" w:hAnsi="Times" w:cs="Helvetica Neue"/>
          <w:lang w:val="fr-FR"/>
        </w:rPr>
      </w:pPr>
      <w:r w:rsidRPr="00F25CEA">
        <w:rPr>
          <w:rFonts w:ascii="Times" w:hAnsi="Times" w:cs="Helvetica Neue"/>
          <w:lang w:val="fr-FR"/>
        </w:rPr>
        <w:t>Développer le rayonnement, la notoriété et l’attractivité nationale et internationale de l’université et du territoire.</w:t>
      </w:r>
    </w:p>
    <w:p w14:paraId="6B9AEC8E" w14:textId="5902F914" w:rsidR="00BB3F63" w:rsidRPr="00F25CEA" w:rsidRDefault="00F25CEA" w:rsidP="00F25CEA">
      <w:pPr>
        <w:rPr>
          <w:rFonts w:ascii="Times" w:hAnsi="Times"/>
          <w:lang w:val="fr-FR"/>
        </w:rPr>
      </w:pPr>
      <w:r>
        <w:rPr>
          <w:rFonts w:ascii="Times" w:hAnsi="Times" w:cs="Helvetica Neue"/>
          <w:b/>
          <w:bCs/>
          <w:color w:val="5A5B58"/>
          <w:lang w:val="fr-FR"/>
        </w:rPr>
        <w:br/>
      </w:r>
      <w:r w:rsidRPr="00F25CEA">
        <w:rPr>
          <w:rFonts w:ascii="Times" w:hAnsi="Times" w:cs="Helvetica Neue"/>
          <w:bCs/>
          <w:lang w:val="fr-FR"/>
        </w:rPr>
        <w:t>La loi d’autonomie des universités</w:t>
      </w:r>
      <w:r w:rsidRPr="00F25CEA">
        <w:rPr>
          <w:rFonts w:ascii="Times" w:hAnsi="Times" w:cs="Helvetica Neue"/>
          <w:lang w:val="fr-FR"/>
        </w:rPr>
        <w:t> a donné la possibilité aux établissements de créer des </w:t>
      </w:r>
      <w:r w:rsidRPr="00F25CEA">
        <w:rPr>
          <w:rFonts w:ascii="Times" w:hAnsi="Times" w:cs="Helvetica Neue"/>
          <w:bCs/>
          <w:lang w:val="fr-FR"/>
        </w:rPr>
        <w:t>fondations partenariales</w:t>
      </w:r>
      <w:r w:rsidRPr="00F25CEA">
        <w:rPr>
          <w:rFonts w:ascii="Times" w:hAnsi="Times" w:cs="Helvetica Neue"/>
          <w:lang w:val="fr-FR"/>
        </w:rPr>
        <w:t>, dotées d’une personnalité morale indépendante, et soumises au statut de la fondation d’entreprise. Ces fondations peuvent recevoir des dons, des legs et bénéficier d’opérations de mécénat.</w:t>
      </w:r>
    </w:p>
    <w:p w14:paraId="3171E691" w14:textId="77777777" w:rsidR="00BB3F63" w:rsidRPr="00F25CEA" w:rsidRDefault="00BB3F63">
      <w:pPr>
        <w:rPr>
          <w:rFonts w:ascii="Times" w:hAnsi="Times"/>
          <w:lang w:val="fr-FR"/>
        </w:rPr>
      </w:pPr>
    </w:p>
    <w:p w14:paraId="1B9936FD" w14:textId="77777777" w:rsidR="00BB3F63" w:rsidRDefault="00BB3F63">
      <w:pPr>
        <w:rPr>
          <w:rFonts w:ascii="Times" w:hAnsi="Times"/>
          <w:lang w:val="fr-FR"/>
        </w:rPr>
      </w:pPr>
    </w:p>
    <w:p w14:paraId="5FDF595B" w14:textId="77777777" w:rsidR="00BB3F63" w:rsidRPr="009A42C6" w:rsidRDefault="00BB3F63">
      <w:pPr>
        <w:rPr>
          <w:rFonts w:ascii="Times" w:hAnsi="Times"/>
          <w:b/>
          <w:lang w:val="fr-FR"/>
        </w:rPr>
      </w:pPr>
      <w:r w:rsidRPr="009A42C6">
        <w:rPr>
          <w:rFonts w:ascii="Times" w:hAnsi="Times"/>
          <w:b/>
          <w:lang w:val="fr-FR"/>
        </w:rPr>
        <w:t>2. Bilan de la collecte de fonds</w:t>
      </w:r>
    </w:p>
    <w:p w14:paraId="09841DBC" w14:textId="4CA99DC4" w:rsidR="009A42C6" w:rsidRDefault="00BB3F63">
      <w:pPr>
        <w:rPr>
          <w:rFonts w:ascii="Times" w:hAnsi="Times"/>
          <w:lang w:val="fr-FR"/>
        </w:rPr>
      </w:pPr>
      <w:r>
        <w:rPr>
          <w:rFonts w:ascii="Times" w:hAnsi="Times"/>
          <w:lang w:val="fr-FR"/>
        </w:rPr>
        <w:t>En 4 ans d’activité</w:t>
      </w:r>
      <w:r w:rsidR="00F25CEA">
        <w:rPr>
          <w:rFonts w:ascii="Times" w:hAnsi="Times"/>
          <w:lang w:val="fr-FR"/>
        </w:rPr>
        <w:t xml:space="preserve"> (2011-2015)</w:t>
      </w:r>
      <w:r>
        <w:rPr>
          <w:rFonts w:ascii="Times" w:hAnsi="Times"/>
          <w:lang w:val="fr-FR"/>
        </w:rPr>
        <w:t>, les promesses de dons obtenu</w:t>
      </w:r>
      <w:r w:rsidR="001876C3">
        <w:rPr>
          <w:rFonts w:ascii="Times" w:hAnsi="Times"/>
          <w:lang w:val="fr-FR"/>
        </w:rPr>
        <w:t>e</w:t>
      </w:r>
      <w:r>
        <w:rPr>
          <w:rFonts w:ascii="Times" w:hAnsi="Times"/>
          <w:lang w:val="fr-FR"/>
        </w:rPr>
        <w:t xml:space="preserve">s auprès de </w:t>
      </w:r>
      <w:r w:rsidRPr="00F25CEA">
        <w:rPr>
          <w:rFonts w:ascii="Times" w:hAnsi="Times"/>
          <w:b/>
          <w:lang w:val="fr-FR"/>
        </w:rPr>
        <w:t>1</w:t>
      </w:r>
      <w:r w:rsidR="00F25CEA" w:rsidRPr="00F25CEA">
        <w:rPr>
          <w:rFonts w:ascii="Times" w:hAnsi="Times"/>
          <w:b/>
          <w:lang w:val="fr-FR"/>
        </w:rPr>
        <w:t xml:space="preserve"> </w:t>
      </w:r>
      <w:r w:rsidRPr="00F25CEA">
        <w:rPr>
          <w:rFonts w:ascii="Times" w:hAnsi="Times"/>
          <w:b/>
          <w:lang w:val="fr-FR"/>
        </w:rPr>
        <w:t>474 donateurs</w:t>
      </w:r>
      <w:r>
        <w:rPr>
          <w:rFonts w:ascii="Times" w:hAnsi="Times"/>
          <w:lang w:val="fr-FR"/>
        </w:rPr>
        <w:t xml:space="preserve"> s’élèvent à </w:t>
      </w:r>
      <w:r w:rsidR="00286F38">
        <w:rPr>
          <w:rFonts w:ascii="Times" w:hAnsi="Times"/>
          <w:b/>
          <w:lang w:val="fr-FR"/>
        </w:rPr>
        <w:t>397 052</w:t>
      </w:r>
      <w:r w:rsidRPr="00F25CEA">
        <w:rPr>
          <w:rFonts w:ascii="Times" w:hAnsi="Times"/>
          <w:b/>
          <w:lang w:val="fr-FR"/>
        </w:rPr>
        <w:t xml:space="preserve"> €.</w:t>
      </w:r>
      <w:r>
        <w:rPr>
          <w:rFonts w:ascii="Times" w:hAnsi="Times"/>
          <w:lang w:val="fr-FR"/>
        </w:rPr>
        <w:t xml:space="preserve"> Ce montant correspond au total des dons et promesses de dons </w:t>
      </w:r>
      <w:proofErr w:type="gramStart"/>
      <w:r>
        <w:rPr>
          <w:rFonts w:ascii="Times" w:hAnsi="Times"/>
          <w:lang w:val="fr-FR"/>
        </w:rPr>
        <w:t>cumulés</w:t>
      </w:r>
      <w:proofErr w:type="gramEnd"/>
      <w:r>
        <w:rPr>
          <w:rFonts w:ascii="Times" w:hAnsi="Times"/>
          <w:lang w:val="fr-FR"/>
        </w:rPr>
        <w:t xml:space="preserve"> des don</w:t>
      </w:r>
      <w:r w:rsidR="00B1110A">
        <w:rPr>
          <w:rFonts w:ascii="Times" w:hAnsi="Times"/>
          <w:lang w:val="fr-FR"/>
        </w:rPr>
        <w:t>a</w:t>
      </w:r>
      <w:r>
        <w:rPr>
          <w:rFonts w:ascii="Times" w:hAnsi="Times"/>
          <w:lang w:val="fr-FR"/>
        </w:rPr>
        <w:t>teurs particuliers et des mécènes entreprises.</w:t>
      </w:r>
      <w:r w:rsidR="009A42C6">
        <w:rPr>
          <w:rFonts w:ascii="Times" w:hAnsi="Times"/>
          <w:lang w:val="fr-FR"/>
        </w:rPr>
        <w:t xml:space="preserve"> </w:t>
      </w:r>
    </w:p>
    <w:p w14:paraId="2CF6DFFC" w14:textId="77777777" w:rsidR="009A42C6" w:rsidRDefault="009A42C6">
      <w:pPr>
        <w:rPr>
          <w:rFonts w:ascii="Times" w:hAnsi="Times"/>
          <w:lang w:val="fr-FR"/>
        </w:rPr>
      </w:pPr>
    </w:p>
    <w:p w14:paraId="76D4B8DE" w14:textId="6B349C5C" w:rsidR="00BB3F63" w:rsidRDefault="009A42C6">
      <w:pPr>
        <w:rPr>
          <w:rFonts w:ascii="Times" w:hAnsi="Times"/>
          <w:lang w:val="fr-FR"/>
        </w:rPr>
      </w:pPr>
      <w:r w:rsidRPr="00F25CEA">
        <w:rPr>
          <w:rFonts w:ascii="Times" w:hAnsi="Times"/>
          <w:b/>
          <w:lang w:val="fr-FR"/>
        </w:rPr>
        <w:t>La totalité des dons perçus en 2015 auprès de 1295 donateurs est de 262 978 €</w:t>
      </w:r>
      <w:r w:rsidRPr="00F25CEA">
        <w:rPr>
          <w:rFonts w:ascii="Times" w:hAnsi="Times"/>
          <w:lang w:val="fr-FR"/>
        </w:rPr>
        <w:t>.</w:t>
      </w:r>
      <w:r>
        <w:rPr>
          <w:rFonts w:ascii="Times" w:hAnsi="Times"/>
          <w:lang w:val="fr-FR"/>
        </w:rPr>
        <w:t xml:space="preserve"> L’année 2015 </w:t>
      </w:r>
      <w:r w:rsidR="00F25CEA">
        <w:rPr>
          <w:rFonts w:ascii="Times" w:hAnsi="Times"/>
          <w:lang w:val="fr-FR"/>
        </w:rPr>
        <w:t>se caractérise par</w:t>
      </w:r>
      <w:r>
        <w:rPr>
          <w:rFonts w:ascii="Times" w:hAnsi="Times"/>
          <w:lang w:val="fr-FR"/>
        </w:rPr>
        <w:t xml:space="preserve"> une croissance </w:t>
      </w:r>
      <w:r w:rsidR="00F25CEA">
        <w:rPr>
          <w:rFonts w:ascii="Times" w:hAnsi="Times"/>
          <w:lang w:val="fr-FR"/>
        </w:rPr>
        <w:t xml:space="preserve">de </w:t>
      </w:r>
      <w:r w:rsidR="00F25CEA" w:rsidRPr="00F25CEA">
        <w:rPr>
          <w:rFonts w:ascii="Times" w:hAnsi="Times"/>
          <w:lang w:val="fr-FR"/>
        </w:rPr>
        <w:t>1</w:t>
      </w:r>
      <w:r w:rsidR="00F25CEA">
        <w:rPr>
          <w:rFonts w:ascii="Times" w:hAnsi="Times"/>
          <w:lang w:val="fr-FR"/>
        </w:rPr>
        <w:t xml:space="preserve"> </w:t>
      </w:r>
      <w:r w:rsidR="00F25CEA" w:rsidRPr="00F25CEA">
        <w:rPr>
          <w:rFonts w:ascii="Times" w:hAnsi="Times"/>
          <w:lang w:val="fr-FR"/>
        </w:rPr>
        <w:t>335%</w:t>
      </w:r>
      <w:r w:rsidR="00F25CEA">
        <w:rPr>
          <w:rFonts w:ascii="Times" w:hAnsi="Times"/>
          <w:lang w:val="fr-FR"/>
        </w:rPr>
        <w:t xml:space="preserve"> en volume (nb de donateurs) et de 539% en valeur (€) </w:t>
      </w:r>
      <w:r>
        <w:rPr>
          <w:rFonts w:ascii="Times" w:hAnsi="Times"/>
          <w:lang w:val="fr-FR"/>
        </w:rPr>
        <w:t>avec un grand nombre de dons individuels.</w:t>
      </w:r>
      <w:r w:rsidR="00295262">
        <w:rPr>
          <w:rFonts w:ascii="Times" w:hAnsi="Times"/>
          <w:lang w:val="fr-FR"/>
        </w:rPr>
        <w:t xml:space="preserve"> </w:t>
      </w:r>
      <w:r w:rsidR="00B66EA0">
        <w:rPr>
          <w:rFonts w:ascii="Times" w:hAnsi="Times"/>
          <w:lang w:val="fr-FR"/>
        </w:rPr>
        <w:t>Le don moyen (toutes catégories confondues) est de 203 € en 2015.</w:t>
      </w:r>
      <w:r w:rsidR="00295262">
        <w:rPr>
          <w:rFonts w:ascii="Times" w:hAnsi="Times"/>
          <w:lang w:val="fr-FR"/>
        </w:rPr>
        <w:t xml:space="preserve"> L’année 2015 concentre </w:t>
      </w:r>
      <w:r w:rsidR="00286F38">
        <w:rPr>
          <w:rFonts w:ascii="Times" w:hAnsi="Times"/>
          <w:lang w:val="fr-FR"/>
        </w:rPr>
        <w:t>66</w:t>
      </w:r>
      <w:r w:rsidR="00295262">
        <w:rPr>
          <w:rFonts w:ascii="Times" w:hAnsi="Times"/>
          <w:lang w:val="fr-FR"/>
        </w:rPr>
        <w:t>% du montant total collecté depuis la création de la fondation.</w:t>
      </w:r>
    </w:p>
    <w:p w14:paraId="596DA658" w14:textId="77777777" w:rsidR="00E7040B" w:rsidRDefault="00E7040B" w:rsidP="009A42C6">
      <w:pPr>
        <w:rPr>
          <w:rFonts w:ascii="Times" w:hAnsi="Times"/>
          <w:b/>
          <w:lang w:val="fr-FR"/>
        </w:rPr>
      </w:pPr>
    </w:p>
    <w:p w14:paraId="71B25D18" w14:textId="0239D5CF" w:rsidR="009A42C6" w:rsidRPr="009A42C6" w:rsidRDefault="009A42C6" w:rsidP="009A42C6">
      <w:pPr>
        <w:rPr>
          <w:rFonts w:ascii="Times" w:hAnsi="Times"/>
          <w:b/>
          <w:lang w:val="fr-FR"/>
        </w:rPr>
      </w:pPr>
      <w:r w:rsidRPr="009A42C6">
        <w:rPr>
          <w:rFonts w:ascii="Times" w:hAnsi="Times"/>
          <w:b/>
          <w:lang w:val="fr-FR"/>
        </w:rPr>
        <w:lastRenderedPageBreak/>
        <w:t>3. Profils des donateurs</w:t>
      </w:r>
    </w:p>
    <w:p w14:paraId="6CEAE312" w14:textId="38F1ECD5" w:rsidR="009A42C6" w:rsidRDefault="000F4DA2">
      <w:pPr>
        <w:rPr>
          <w:rFonts w:ascii="Times" w:hAnsi="Times"/>
          <w:lang w:val="fr-FR"/>
        </w:rPr>
      </w:pPr>
      <w:r>
        <w:rPr>
          <w:rFonts w:ascii="Times" w:hAnsi="Times"/>
          <w:lang w:val="fr-FR"/>
        </w:rPr>
        <w:t>Pour l’année 2015, les grands types de donateurs sont :</w:t>
      </w:r>
    </w:p>
    <w:p w14:paraId="040EF093" w14:textId="4711498A" w:rsidR="000F4DA2" w:rsidRPr="000F4DA2" w:rsidRDefault="000F4DA2" w:rsidP="000F4DA2">
      <w:pPr>
        <w:pStyle w:val="Paragraphedeliste"/>
        <w:numPr>
          <w:ilvl w:val="0"/>
          <w:numId w:val="7"/>
        </w:numPr>
        <w:rPr>
          <w:rFonts w:ascii="Times" w:hAnsi="Times"/>
          <w:lang w:val="fr-FR"/>
        </w:rPr>
      </w:pPr>
      <w:r w:rsidRPr="000F4DA2">
        <w:rPr>
          <w:rFonts w:ascii="Times" w:hAnsi="Times"/>
          <w:lang w:val="fr-FR"/>
        </w:rPr>
        <w:t>les entreprises</w:t>
      </w:r>
      <w:r>
        <w:rPr>
          <w:rFonts w:ascii="Times" w:hAnsi="Times"/>
          <w:lang w:val="fr-FR"/>
        </w:rPr>
        <w:t xml:space="preserve"> et les fondations privées</w:t>
      </w:r>
    </w:p>
    <w:p w14:paraId="4C2FEEA0" w14:textId="541F1263" w:rsidR="000F4DA2" w:rsidRDefault="000F4DA2" w:rsidP="000F4DA2">
      <w:pPr>
        <w:pStyle w:val="Paragraphedeliste"/>
        <w:numPr>
          <w:ilvl w:val="0"/>
          <w:numId w:val="7"/>
        </w:numPr>
        <w:rPr>
          <w:rFonts w:ascii="Times" w:hAnsi="Times"/>
          <w:lang w:val="fr-FR"/>
        </w:rPr>
      </w:pPr>
      <w:r>
        <w:rPr>
          <w:rFonts w:ascii="Times" w:hAnsi="Times"/>
          <w:lang w:val="fr-FR"/>
        </w:rPr>
        <w:t>les institutions publiques et les élus</w:t>
      </w:r>
    </w:p>
    <w:p w14:paraId="7C398C18" w14:textId="5B0C5E94" w:rsidR="000F4DA2" w:rsidRPr="000F4DA2" w:rsidRDefault="000F4DA2" w:rsidP="000F4DA2">
      <w:pPr>
        <w:pStyle w:val="Paragraphedeliste"/>
        <w:numPr>
          <w:ilvl w:val="0"/>
          <w:numId w:val="7"/>
        </w:numPr>
        <w:rPr>
          <w:rFonts w:ascii="Times" w:hAnsi="Times"/>
          <w:lang w:val="fr-FR"/>
        </w:rPr>
      </w:pPr>
      <w:r>
        <w:rPr>
          <w:rFonts w:ascii="Times" w:hAnsi="Times"/>
          <w:lang w:val="fr-FR"/>
        </w:rPr>
        <w:t xml:space="preserve">les particuliers. </w:t>
      </w:r>
    </w:p>
    <w:p w14:paraId="7C706AE6" w14:textId="77777777" w:rsidR="000F4DA2" w:rsidRDefault="000F4DA2">
      <w:pPr>
        <w:rPr>
          <w:rFonts w:ascii="Times" w:hAnsi="Times"/>
          <w:lang w:val="fr-FR"/>
        </w:rPr>
      </w:pPr>
    </w:p>
    <w:p w14:paraId="6C67B4E5" w14:textId="6D560984" w:rsidR="000F4DA2" w:rsidRDefault="000F4DA2">
      <w:pPr>
        <w:rPr>
          <w:rFonts w:ascii="Times" w:hAnsi="Times"/>
          <w:lang w:val="fr-FR"/>
        </w:rPr>
      </w:pPr>
      <w:r w:rsidRPr="000F4DA2">
        <w:rPr>
          <w:rFonts w:ascii="Times" w:hAnsi="Times"/>
          <w:noProof/>
          <w:lang w:val="fr-FR"/>
        </w:rPr>
        <w:drawing>
          <wp:inline distT="0" distB="0" distL="0" distR="0" wp14:anchorId="18B806CA" wp14:editId="2D013625">
            <wp:extent cx="4801493" cy="3315593"/>
            <wp:effectExtent l="0" t="0" r="24765" b="37465"/>
            <wp:docPr id="1" name="Graphiqu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18CC48D5" w14:textId="51D62BFF" w:rsidR="000F4DA2" w:rsidRPr="00295262" w:rsidRDefault="00295262">
      <w:pPr>
        <w:rPr>
          <w:rFonts w:ascii="Times" w:hAnsi="Times"/>
          <w:sz w:val="20"/>
          <w:szCs w:val="20"/>
          <w:lang w:val="fr-FR"/>
        </w:rPr>
      </w:pPr>
      <w:r w:rsidRPr="00295262">
        <w:rPr>
          <w:rFonts w:ascii="Times" w:hAnsi="Times"/>
          <w:sz w:val="20"/>
          <w:szCs w:val="20"/>
          <w:lang w:val="fr-FR"/>
        </w:rPr>
        <w:t xml:space="preserve">Figure 1 : </w:t>
      </w:r>
      <w:r w:rsidR="000F4DA2" w:rsidRPr="00295262">
        <w:rPr>
          <w:rFonts w:ascii="Times" w:hAnsi="Times"/>
          <w:sz w:val="20"/>
          <w:szCs w:val="20"/>
          <w:lang w:val="fr-FR"/>
        </w:rPr>
        <w:t>Provenance des dons 2015</w:t>
      </w:r>
    </w:p>
    <w:p w14:paraId="477E38AC" w14:textId="77777777" w:rsidR="000F4DA2" w:rsidRDefault="000F4DA2">
      <w:pPr>
        <w:rPr>
          <w:rFonts w:ascii="Times" w:hAnsi="Times"/>
          <w:lang w:val="fr-FR"/>
        </w:rPr>
      </w:pPr>
    </w:p>
    <w:p w14:paraId="4B790F2A" w14:textId="2062A477" w:rsidR="000F4DA2" w:rsidRPr="006C19DB" w:rsidRDefault="000F4DA2">
      <w:pPr>
        <w:rPr>
          <w:rFonts w:ascii="Times" w:hAnsi="Times"/>
          <w:b/>
          <w:i/>
          <w:lang w:val="fr-FR"/>
        </w:rPr>
      </w:pPr>
      <w:r w:rsidRPr="006C19DB">
        <w:rPr>
          <w:rFonts w:ascii="Times" w:hAnsi="Times"/>
          <w:b/>
          <w:i/>
          <w:lang w:val="fr-FR"/>
        </w:rPr>
        <w:t>Les entreprises et</w:t>
      </w:r>
      <w:r w:rsidR="00295262">
        <w:rPr>
          <w:rFonts w:ascii="Times" w:hAnsi="Times"/>
          <w:b/>
          <w:i/>
          <w:lang w:val="fr-FR"/>
        </w:rPr>
        <w:t xml:space="preserve"> les</w:t>
      </w:r>
      <w:r w:rsidRPr="006C19DB">
        <w:rPr>
          <w:rFonts w:ascii="Times" w:hAnsi="Times"/>
          <w:b/>
          <w:i/>
          <w:lang w:val="fr-FR"/>
        </w:rPr>
        <w:t xml:space="preserve"> fondations privées</w:t>
      </w:r>
    </w:p>
    <w:p w14:paraId="7E478D14" w14:textId="7AEA9756" w:rsidR="000F4DA2" w:rsidRDefault="000F4DA2">
      <w:pPr>
        <w:rPr>
          <w:rFonts w:ascii="Times" w:hAnsi="Times"/>
          <w:lang w:val="fr-FR"/>
        </w:rPr>
      </w:pPr>
      <w:r>
        <w:rPr>
          <w:rFonts w:ascii="Times" w:hAnsi="Times"/>
          <w:lang w:val="fr-FR"/>
        </w:rPr>
        <w:t xml:space="preserve">Les dons encaissés des entreprises représentent 24% de la totalité des dons obtenus en 2015. Au total, </w:t>
      </w:r>
      <w:r w:rsidR="006C19DB">
        <w:rPr>
          <w:rFonts w:ascii="Times" w:hAnsi="Times"/>
          <w:lang w:val="fr-FR"/>
        </w:rPr>
        <w:t>23</w:t>
      </w:r>
      <w:r>
        <w:rPr>
          <w:rFonts w:ascii="Times" w:hAnsi="Times"/>
          <w:lang w:val="fr-FR"/>
        </w:rPr>
        <w:t xml:space="preserve"> entreprises</w:t>
      </w:r>
      <w:r w:rsidR="006C19DB">
        <w:rPr>
          <w:rFonts w:ascii="Times" w:hAnsi="Times"/>
          <w:lang w:val="fr-FR"/>
        </w:rPr>
        <w:t xml:space="preserve"> ont fait un don à la fondation. Parmi elles, 8 entreprises ont fait un don compris entre</w:t>
      </w:r>
      <w:r>
        <w:rPr>
          <w:rFonts w:ascii="Times" w:hAnsi="Times"/>
          <w:lang w:val="fr-FR"/>
        </w:rPr>
        <w:t xml:space="preserve"> 2 000 € </w:t>
      </w:r>
      <w:r w:rsidR="006C19DB">
        <w:rPr>
          <w:rFonts w:ascii="Times" w:hAnsi="Times"/>
          <w:lang w:val="fr-FR"/>
        </w:rPr>
        <w:t>et</w:t>
      </w:r>
      <w:r>
        <w:rPr>
          <w:rFonts w:ascii="Times" w:hAnsi="Times"/>
          <w:lang w:val="fr-FR"/>
        </w:rPr>
        <w:t xml:space="preserve"> 25 000 €. Tous les dons des entreprises sont fléchés sur des projets (bibliothèque, cluster </w:t>
      </w:r>
      <w:proofErr w:type="spellStart"/>
      <w:r>
        <w:rPr>
          <w:rFonts w:ascii="Times" w:hAnsi="Times"/>
          <w:lang w:val="fr-FR"/>
        </w:rPr>
        <w:t>alumni</w:t>
      </w:r>
      <w:proofErr w:type="spellEnd"/>
      <w:r>
        <w:rPr>
          <w:rFonts w:ascii="Times" w:hAnsi="Times"/>
          <w:lang w:val="fr-FR"/>
        </w:rPr>
        <w:t>, jeune talent).</w:t>
      </w:r>
    </w:p>
    <w:p w14:paraId="03EDC4DA" w14:textId="77777777" w:rsidR="000F4DA2" w:rsidRDefault="000F4DA2">
      <w:pPr>
        <w:rPr>
          <w:rFonts w:ascii="Times" w:hAnsi="Times"/>
          <w:lang w:val="fr-FR"/>
        </w:rPr>
      </w:pPr>
    </w:p>
    <w:p w14:paraId="34BE8482" w14:textId="034C2002" w:rsidR="000F4DA2" w:rsidRPr="006C19DB" w:rsidRDefault="000F4DA2">
      <w:pPr>
        <w:rPr>
          <w:rFonts w:ascii="Times" w:hAnsi="Times"/>
          <w:b/>
          <w:i/>
          <w:lang w:val="fr-FR"/>
        </w:rPr>
      </w:pPr>
      <w:r w:rsidRPr="006C19DB">
        <w:rPr>
          <w:rFonts w:ascii="Times" w:hAnsi="Times"/>
          <w:b/>
          <w:i/>
          <w:lang w:val="fr-FR"/>
        </w:rPr>
        <w:t>Les institutions et</w:t>
      </w:r>
      <w:r w:rsidR="00295262">
        <w:rPr>
          <w:rFonts w:ascii="Times" w:hAnsi="Times"/>
          <w:b/>
          <w:i/>
          <w:lang w:val="fr-FR"/>
        </w:rPr>
        <w:t xml:space="preserve"> les</w:t>
      </w:r>
      <w:r w:rsidRPr="006C19DB">
        <w:rPr>
          <w:rFonts w:ascii="Times" w:hAnsi="Times"/>
          <w:b/>
          <w:i/>
          <w:lang w:val="fr-FR"/>
        </w:rPr>
        <w:t xml:space="preserve"> élus</w:t>
      </w:r>
    </w:p>
    <w:p w14:paraId="095A435C" w14:textId="27AB76E4" w:rsidR="000F4DA2" w:rsidRDefault="000F4DA2">
      <w:pPr>
        <w:rPr>
          <w:rFonts w:ascii="Times" w:hAnsi="Times"/>
          <w:lang w:val="fr-FR"/>
        </w:rPr>
      </w:pPr>
      <w:r>
        <w:rPr>
          <w:rFonts w:ascii="Times" w:hAnsi="Times"/>
          <w:lang w:val="fr-FR"/>
        </w:rPr>
        <w:t xml:space="preserve">Les fonds </w:t>
      </w:r>
      <w:r w:rsidR="008C05C6">
        <w:rPr>
          <w:rFonts w:ascii="Times" w:hAnsi="Times"/>
          <w:lang w:val="fr-FR"/>
        </w:rPr>
        <w:t xml:space="preserve">en provenance </w:t>
      </w:r>
      <w:r>
        <w:rPr>
          <w:rFonts w:ascii="Times" w:hAnsi="Times"/>
          <w:lang w:val="fr-FR"/>
        </w:rPr>
        <w:t>des deux collectivités territoriales et trois députés (réserve parlementaire) représentent 34% de la collecte 2015. Les dons sont fléchés sur les collections de la bibliothèque.</w:t>
      </w:r>
    </w:p>
    <w:p w14:paraId="4F77BA92" w14:textId="77777777" w:rsidR="000F4DA2" w:rsidRDefault="000F4DA2">
      <w:pPr>
        <w:rPr>
          <w:rFonts w:ascii="Times" w:hAnsi="Times"/>
          <w:lang w:val="fr-FR"/>
        </w:rPr>
      </w:pPr>
    </w:p>
    <w:p w14:paraId="1F5BC1E1" w14:textId="3BD6E695" w:rsidR="000F4DA2" w:rsidRPr="006C19DB" w:rsidRDefault="000F4DA2">
      <w:pPr>
        <w:rPr>
          <w:rFonts w:ascii="Times" w:hAnsi="Times"/>
          <w:b/>
          <w:i/>
          <w:lang w:val="fr-FR"/>
        </w:rPr>
      </w:pPr>
      <w:r w:rsidRPr="006C19DB">
        <w:rPr>
          <w:rFonts w:ascii="Times" w:hAnsi="Times"/>
          <w:b/>
          <w:i/>
          <w:lang w:val="fr-FR"/>
        </w:rPr>
        <w:t>Les particuliers</w:t>
      </w:r>
    </w:p>
    <w:p w14:paraId="05B79675" w14:textId="319841F5" w:rsidR="006C19DB" w:rsidRDefault="000F4DA2">
      <w:pPr>
        <w:rPr>
          <w:rFonts w:ascii="Times" w:hAnsi="Times"/>
          <w:lang w:val="fr-FR"/>
        </w:rPr>
      </w:pPr>
      <w:r>
        <w:rPr>
          <w:rFonts w:ascii="Times" w:hAnsi="Times"/>
          <w:lang w:val="fr-FR"/>
        </w:rPr>
        <w:t>Les particuliers</w:t>
      </w:r>
      <w:r w:rsidR="006C19DB">
        <w:rPr>
          <w:rFonts w:ascii="Times" w:hAnsi="Times"/>
          <w:lang w:val="fr-FR"/>
        </w:rPr>
        <w:t>, essentiellement des parents d’étudiants actuellement inscrits à l’UVSQ,</w:t>
      </w:r>
      <w:r>
        <w:rPr>
          <w:rFonts w:ascii="Times" w:hAnsi="Times"/>
          <w:lang w:val="fr-FR"/>
        </w:rPr>
        <w:t xml:space="preserve"> représentent 42% des dons perçus en 2015</w:t>
      </w:r>
      <w:r w:rsidR="006C19DB">
        <w:rPr>
          <w:rFonts w:ascii="Times" w:hAnsi="Times"/>
          <w:lang w:val="fr-FR"/>
        </w:rPr>
        <w:t xml:space="preserve"> (et 98% des donateurs)</w:t>
      </w:r>
      <w:r>
        <w:rPr>
          <w:rFonts w:ascii="Times" w:hAnsi="Times"/>
          <w:lang w:val="fr-FR"/>
        </w:rPr>
        <w:t>. Il s’agit, d’une part, des dons fléchés pour la bibliothèque et, d’autre part, de dons non fléchés collectés en fin d’</w:t>
      </w:r>
      <w:r w:rsidR="009972D4">
        <w:rPr>
          <w:rFonts w:ascii="Times" w:hAnsi="Times"/>
          <w:lang w:val="fr-FR"/>
        </w:rPr>
        <w:t>année (fond annuel).</w:t>
      </w:r>
      <w:r w:rsidR="008C05C6">
        <w:rPr>
          <w:rFonts w:ascii="Times" w:hAnsi="Times"/>
          <w:lang w:val="fr-FR"/>
        </w:rPr>
        <w:t xml:space="preserve"> </w:t>
      </w:r>
      <w:r w:rsidR="006C19DB">
        <w:rPr>
          <w:rFonts w:ascii="Times" w:hAnsi="Times"/>
          <w:lang w:val="fr-FR"/>
        </w:rPr>
        <w:t xml:space="preserve">Depuis la rentrée 2014, les parents des primo-entrants reçoivent une lettre d’information accompagnée d’un bulletin de soutien. Une relance téléphonique est réalisée début décembre.   </w:t>
      </w:r>
    </w:p>
    <w:p w14:paraId="65B282BF" w14:textId="77777777" w:rsidR="006C19DB" w:rsidRDefault="006C19DB">
      <w:pPr>
        <w:rPr>
          <w:rFonts w:ascii="Times" w:hAnsi="Times"/>
          <w:lang w:val="fr-FR"/>
        </w:rPr>
      </w:pPr>
    </w:p>
    <w:p w14:paraId="3E58B4A0" w14:textId="4512E927" w:rsidR="000F4DA2" w:rsidRDefault="008C05C6">
      <w:pPr>
        <w:rPr>
          <w:rFonts w:ascii="Times" w:hAnsi="Times"/>
          <w:lang w:val="fr-FR"/>
        </w:rPr>
      </w:pPr>
      <w:r>
        <w:rPr>
          <w:rFonts w:ascii="Times" w:hAnsi="Times"/>
          <w:lang w:val="fr-FR"/>
        </w:rPr>
        <w:t xml:space="preserve">Le travail entrepris depuis 2 ans par la fondation a permis </w:t>
      </w:r>
      <w:r w:rsidR="006C19DB">
        <w:rPr>
          <w:rFonts w:ascii="Times" w:hAnsi="Times"/>
          <w:lang w:val="fr-FR"/>
        </w:rPr>
        <w:t>d’identifier un potentiel de 54 000 diplômés (</w:t>
      </w:r>
      <w:r>
        <w:rPr>
          <w:rFonts w:ascii="Times" w:hAnsi="Times"/>
          <w:lang w:val="fr-FR"/>
        </w:rPr>
        <w:t xml:space="preserve">4825 </w:t>
      </w:r>
      <w:proofErr w:type="spellStart"/>
      <w:r>
        <w:rPr>
          <w:rFonts w:ascii="Times" w:hAnsi="Times"/>
          <w:lang w:val="fr-FR"/>
        </w:rPr>
        <w:t>alumni</w:t>
      </w:r>
      <w:proofErr w:type="spellEnd"/>
      <w:r>
        <w:rPr>
          <w:rFonts w:ascii="Times" w:hAnsi="Times"/>
          <w:lang w:val="fr-FR"/>
        </w:rPr>
        <w:t xml:space="preserve"> </w:t>
      </w:r>
      <w:r w:rsidR="006C19DB">
        <w:rPr>
          <w:rFonts w:ascii="Times" w:hAnsi="Times"/>
          <w:lang w:val="fr-FR"/>
        </w:rPr>
        <w:t xml:space="preserve">qualifiés à ce jour) </w:t>
      </w:r>
      <w:r>
        <w:rPr>
          <w:rFonts w:ascii="Times" w:hAnsi="Times"/>
          <w:lang w:val="fr-FR"/>
        </w:rPr>
        <w:t xml:space="preserve">qui pourront être sollicités dans le cadre du fond annuel fin 2016. En effet, la phase d’information sur l’existence de la fondation et les actions menées est actuellement en cours (développement du cluster vert &amp; bleu, soutien aux projets étudiants, bourses internationales, prix jeune </w:t>
      </w:r>
      <w:proofErr w:type="gramStart"/>
      <w:r>
        <w:rPr>
          <w:rFonts w:ascii="Times" w:hAnsi="Times"/>
          <w:lang w:val="fr-FR"/>
        </w:rPr>
        <w:t>talent</w:t>
      </w:r>
      <w:r w:rsidR="006C19DB">
        <w:rPr>
          <w:rFonts w:ascii="Times" w:hAnsi="Times"/>
          <w:lang w:val="fr-FR"/>
        </w:rPr>
        <w:t>…</w:t>
      </w:r>
      <w:r>
        <w:rPr>
          <w:rFonts w:ascii="Times" w:hAnsi="Times"/>
          <w:lang w:val="fr-FR"/>
        </w:rPr>
        <w:t>)</w:t>
      </w:r>
      <w:proofErr w:type="gramEnd"/>
      <w:r>
        <w:rPr>
          <w:rFonts w:ascii="Times" w:hAnsi="Times"/>
          <w:lang w:val="fr-FR"/>
        </w:rPr>
        <w:t>.</w:t>
      </w:r>
      <w:r w:rsidR="006C19DB">
        <w:rPr>
          <w:rFonts w:ascii="Times" w:hAnsi="Times"/>
          <w:lang w:val="fr-FR"/>
        </w:rPr>
        <w:t xml:space="preserve"> </w:t>
      </w:r>
    </w:p>
    <w:p w14:paraId="2A0B2DC5" w14:textId="6238AD46" w:rsidR="001F5E70" w:rsidRDefault="00EA40B8">
      <w:pPr>
        <w:rPr>
          <w:rFonts w:ascii="Times" w:hAnsi="Times"/>
          <w:b/>
          <w:lang w:val="fr-FR"/>
        </w:rPr>
      </w:pPr>
      <w:r w:rsidRPr="009A42C6">
        <w:rPr>
          <w:rFonts w:ascii="Times" w:hAnsi="Times"/>
          <w:b/>
          <w:lang w:val="fr-FR"/>
        </w:rPr>
        <w:lastRenderedPageBreak/>
        <w:t>3. Pro</w:t>
      </w:r>
      <w:r>
        <w:rPr>
          <w:rFonts w:ascii="Times" w:hAnsi="Times"/>
          <w:b/>
          <w:lang w:val="fr-FR"/>
        </w:rPr>
        <w:t>jets soutenus</w:t>
      </w:r>
      <w:r w:rsidR="00B017EE">
        <w:rPr>
          <w:rFonts w:ascii="Times" w:hAnsi="Times"/>
          <w:b/>
          <w:lang w:val="fr-FR"/>
        </w:rPr>
        <w:t xml:space="preserve"> </w:t>
      </w:r>
    </w:p>
    <w:p w14:paraId="6BBC0F00" w14:textId="77777777" w:rsidR="00EA40B8" w:rsidRDefault="00EA40B8">
      <w:pPr>
        <w:rPr>
          <w:rFonts w:ascii="Times" w:hAnsi="Times"/>
          <w:b/>
          <w:lang w:val="fr-FR"/>
        </w:rPr>
      </w:pPr>
    </w:p>
    <w:p w14:paraId="78946592" w14:textId="57A11EF7" w:rsidR="00EA40B8" w:rsidRDefault="00EA40B8">
      <w:pPr>
        <w:rPr>
          <w:rFonts w:ascii="Times" w:hAnsi="Times"/>
          <w:lang w:val="fr-FR"/>
        </w:rPr>
      </w:pPr>
      <w:bookmarkStart w:id="0" w:name="_GoBack"/>
      <w:r w:rsidRPr="00EA40B8">
        <w:rPr>
          <w:rFonts w:ascii="Times" w:hAnsi="Times"/>
          <w:b/>
          <w:noProof/>
          <w:lang w:val="fr-FR"/>
        </w:rPr>
        <w:drawing>
          <wp:inline distT="0" distB="0" distL="0" distR="0" wp14:anchorId="5B2DBD0D" wp14:editId="6BCA0D0C">
            <wp:extent cx="5830193" cy="3873500"/>
            <wp:effectExtent l="0" t="0" r="37465" b="12700"/>
            <wp:docPr id="3" name="Graphique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bookmarkEnd w:id="0"/>
    </w:p>
    <w:p w14:paraId="5D81F84C" w14:textId="17B31AF9" w:rsidR="00EA40B8" w:rsidRPr="00295262" w:rsidRDefault="00295262">
      <w:pPr>
        <w:rPr>
          <w:rFonts w:ascii="Times" w:hAnsi="Times"/>
          <w:sz w:val="20"/>
          <w:szCs w:val="20"/>
          <w:lang w:val="fr-FR"/>
        </w:rPr>
      </w:pPr>
      <w:r w:rsidRPr="00295262">
        <w:rPr>
          <w:rFonts w:ascii="Times" w:hAnsi="Times"/>
          <w:sz w:val="20"/>
          <w:szCs w:val="20"/>
          <w:lang w:val="fr-FR"/>
        </w:rPr>
        <w:t xml:space="preserve">Figure 2 : </w:t>
      </w:r>
      <w:r w:rsidR="00EA40B8" w:rsidRPr="00295262">
        <w:rPr>
          <w:rFonts w:ascii="Times" w:hAnsi="Times"/>
          <w:sz w:val="20"/>
          <w:szCs w:val="20"/>
          <w:lang w:val="fr-FR"/>
        </w:rPr>
        <w:t>Répartition des dons 2015 par projet</w:t>
      </w:r>
    </w:p>
    <w:p w14:paraId="5ABD3FB7" w14:textId="77777777" w:rsidR="00EA40B8" w:rsidRDefault="00EA40B8">
      <w:pPr>
        <w:rPr>
          <w:rFonts w:ascii="Times" w:hAnsi="Times"/>
          <w:lang w:val="fr-FR"/>
        </w:rPr>
      </w:pPr>
    </w:p>
    <w:p w14:paraId="2B8786CD" w14:textId="77777777" w:rsidR="00E7040B" w:rsidRDefault="00E7040B">
      <w:pPr>
        <w:rPr>
          <w:rFonts w:ascii="Times" w:hAnsi="Times"/>
          <w:lang w:val="fr-FR"/>
        </w:rPr>
      </w:pPr>
    </w:p>
    <w:p w14:paraId="6CD08154" w14:textId="50DD087D" w:rsidR="006A10ED" w:rsidRDefault="00BB3F63" w:rsidP="00BB3F63">
      <w:pPr>
        <w:rPr>
          <w:rFonts w:ascii="Times" w:hAnsi="Times"/>
          <w:color w:val="000000" w:themeColor="text1"/>
          <w:lang w:val="fr-FR"/>
        </w:rPr>
      </w:pPr>
      <w:r w:rsidRPr="006A10ED">
        <w:rPr>
          <w:rFonts w:ascii="Times" w:hAnsi="Times"/>
          <w:color w:val="000000" w:themeColor="text1"/>
          <w:lang w:val="fr-FR"/>
        </w:rPr>
        <w:t xml:space="preserve">Après 4 années d’activités, la fondation a mené </w:t>
      </w:r>
      <w:r w:rsidR="006A10ED">
        <w:rPr>
          <w:rFonts w:ascii="Times" w:hAnsi="Times"/>
          <w:color w:val="000000" w:themeColor="text1"/>
          <w:lang w:val="fr-FR"/>
        </w:rPr>
        <w:t>d’octobre 2014 à septembre 2015</w:t>
      </w:r>
      <w:r w:rsidRPr="006A10ED">
        <w:rPr>
          <w:rFonts w:ascii="Times" w:hAnsi="Times"/>
          <w:color w:val="000000" w:themeColor="text1"/>
          <w:lang w:val="fr-FR"/>
        </w:rPr>
        <w:t xml:space="preserve"> sa première campagne de collecte de dons afin de développer les collections d’ouvrages </w:t>
      </w:r>
      <w:r w:rsidR="006A10ED">
        <w:rPr>
          <w:rFonts w:ascii="Times" w:hAnsi="Times"/>
          <w:color w:val="000000" w:themeColor="text1"/>
          <w:lang w:val="fr-FR"/>
        </w:rPr>
        <w:t xml:space="preserve">mis </w:t>
      </w:r>
      <w:r w:rsidRPr="006A10ED">
        <w:rPr>
          <w:rFonts w:ascii="Times" w:hAnsi="Times"/>
          <w:color w:val="000000" w:themeColor="text1"/>
          <w:lang w:val="fr-FR"/>
        </w:rPr>
        <w:t>à disposition des étudiants et des chercheurs</w:t>
      </w:r>
      <w:r w:rsidR="006A10ED">
        <w:rPr>
          <w:rFonts w:ascii="Times" w:hAnsi="Times"/>
          <w:color w:val="000000" w:themeColor="text1"/>
          <w:lang w:val="fr-FR"/>
        </w:rPr>
        <w:t xml:space="preserve"> à la </w:t>
      </w:r>
      <w:r w:rsidR="006A10ED" w:rsidRPr="00E7040B">
        <w:rPr>
          <w:rFonts w:ascii="Times" w:hAnsi="Times"/>
          <w:b/>
          <w:color w:val="000000" w:themeColor="text1"/>
          <w:lang w:val="fr-FR"/>
        </w:rPr>
        <w:t>bibliothèque</w:t>
      </w:r>
      <w:r w:rsidRPr="006A10ED">
        <w:rPr>
          <w:rFonts w:ascii="Times" w:hAnsi="Times"/>
          <w:color w:val="000000" w:themeColor="text1"/>
          <w:lang w:val="fr-FR"/>
        </w:rPr>
        <w:t xml:space="preserve">. </w:t>
      </w:r>
      <w:r w:rsidR="000F2F50">
        <w:rPr>
          <w:rFonts w:ascii="Times" w:hAnsi="Times"/>
          <w:color w:val="000000" w:themeColor="text1"/>
          <w:lang w:val="fr-FR"/>
        </w:rPr>
        <w:t>60% des dons collectés sont fléchés sur ce projet.</w:t>
      </w:r>
    </w:p>
    <w:p w14:paraId="595D3D0C" w14:textId="77777777" w:rsidR="006A10ED" w:rsidRDefault="006A10ED" w:rsidP="00BB3F63">
      <w:pPr>
        <w:rPr>
          <w:rFonts w:ascii="Times" w:hAnsi="Times"/>
          <w:color w:val="000000" w:themeColor="text1"/>
          <w:lang w:val="fr-FR"/>
        </w:rPr>
      </w:pPr>
    </w:p>
    <w:p w14:paraId="59C50DA4" w14:textId="335C3836" w:rsidR="00BB3F63" w:rsidRDefault="00BB3F63" w:rsidP="00BB3F63">
      <w:pPr>
        <w:rPr>
          <w:rFonts w:ascii="Times" w:hAnsi="Times"/>
          <w:color w:val="000000" w:themeColor="text1"/>
          <w:lang w:val="fr-FR"/>
        </w:rPr>
      </w:pPr>
      <w:r w:rsidRPr="006A10ED">
        <w:rPr>
          <w:rFonts w:ascii="Times" w:hAnsi="Times"/>
          <w:color w:val="000000" w:themeColor="text1"/>
          <w:lang w:val="fr-FR"/>
        </w:rPr>
        <w:t xml:space="preserve">L’année 2015 fut également celle du </w:t>
      </w:r>
      <w:r w:rsidR="000F2F50">
        <w:rPr>
          <w:rFonts w:ascii="Times" w:hAnsi="Times"/>
          <w:color w:val="000000" w:themeColor="text1"/>
          <w:lang w:val="fr-FR"/>
        </w:rPr>
        <w:t>développement</w:t>
      </w:r>
      <w:r w:rsidRPr="006A10ED">
        <w:rPr>
          <w:rFonts w:ascii="Times" w:hAnsi="Times"/>
          <w:color w:val="000000" w:themeColor="text1"/>
          <w:lang w:val="fr-FR"/>
        </w:rPr>
        <w:t xml:space="preserve"> de notre </w:t>
      </w:r>
      <w:r w:rsidRPr="00E7040B">
        <w:rPr>
          <w:rFonts w:ascii="Times" w:hAnsi="Times"/>
          <w:b/>
          <w:color w:val="000000" w:themeColor="text1"/>
          <w:lang w:val="fr-FR"/>
        </w:rPr>
        <w:t xml:space="preserve">programme </w:t>
      </w:r>
      <w:r w:rsidR="00E7040B">
        <w:rPr>
          <w:rFonts w:ascii="Times" w:hAnsi="Times"/>
          <w:b/>
          <w:color w:val="000000" w:themeColor="text1"/>
          <w:lang w:val="fr-FR"/>
        </w:rPr>
        <w:t xml:space="preserve">cluster </w:t>
      </w:r>
      <w:proofErr w:type="spellStart"/>
      <w:r w:rsidRPr="00E7040B">
        <w:rPr>
          <w:rFonts w:ascii="Times" w:hAnsi="Times"/>
          <w:b/>
          <w:color w:val="000000" w:themeColor="text1"/>
          <w:lang w:val="fr-FR"/>
        </w:rPr>
        <w:t>alumni</w:t>
      </w:r>
      <w:proofErr w:type="spellEnd"/>
      <w:r w:rsidRPr="006A10ED">
        <w:rPr>
          <w:rFonts w:ascii="Times" w:hAnsi="Times"/>
          <w:color w:val="000000" w:themeColor="text1"/>
          <w:lang w:val="fr-FR"/>
        </w:rPr>
        <w:t xml:space="preserve"> structuré autour du cluster de compétences, qui porte les couleurs de l’université : vert et bleu. </w:t>
      </w:r>
      <w:r w:rsidR="000F2F50">
        <w:rPr>
          <w:rFonts w:ascii="Times" w:hAnsi="Times"/>
          <w:color w:val="000000" w:themeColor="text1"/>
          <w:lang w:val="fr-FR"/>
        </w:rPr>
        <w:t xml:space="preserve">Une opération de recherche des diplômés a été menée sous forme d’un jeu « Game of UVSQ » ce qui a permis de recueillir de nouvelles coordonnées électroniques des </w:t>
      </w:r>
      <w:proofErr w:type="spellStart"/>
      <w:r w:rsidR="000F2F50">
        <w:rPr>
          <w:rFonts w:ascii="Times" w:hAnsi="Times"/>
          <w:color w:val="000000" w:themeColor="text1"/>
          <w:lang w:val="fr-FR"/>
        </w:rPr>
        <w:t>alumni</w:t>
      </w:r>
      <w:proofErr w:type="spellEnd"/>
      <w:r w:rsidR="000F2F50">
        <w:rPr>
          <w:rFonts w:ascii="Times" w:hAnsi="Times"/>
          <w:color w:val="000000" w:themeColor="text1"/>
          <w:lang w:val="fr-FR"/>
        </w:rPr>
        <w:t xml:space="preserve">. </w:t>
      </w:r>
      <w:r w:rsidR="000F2F50">
        <w:rPr>
          <w:rFonts w:ascii="Times" w:hAnsi="Times"/>
          <w:color w:val="000000" w:themeColor="text1"/>
          <w:lang w:val="fr-FR"/>
        </w:rPr>
        <w:br/>
        <w:t>Ce projet</w:t>
      </w:r>
      <w:r w:rsidR="00E7040B">
        <w:rPr>
          <w:rFonts w:ascii="Times" w:hAnsi="Times"/>
          <w:color w:val="000000" w:themeColor="text1"/>
          <w:lang w:val="fr-FR"/>
        </w:rPr>
        <w:t>,</w:t>
      </w:r>
      <w:r w:rsidR="000F2F50">
        <w:rPr>
          <w:rFonts w:ascii="Times" w:hAnsi="Times"/>
          <w:color w:val="000000" w:themeColor="text1"/>
          <w:lang w:val="fr-FR"/>
        </w:rPr>
        <w:t xml:space="preserve"> </w:t>
      </w:r>
      <w:r w:rsidR="004A43F5">
        <w:rPr>
          <w:rFonts w:ascii="Times" w:hAnsi="Times"/>
          <w:color w:val="000000" w:themeColor="text1"/>
          <w:lang w:val="fr-FR"/>
        </w:rPr>
        <w:t>qui représente 15% des dons</w:t>
      </w:r>
      <w:r w:rsidR="00E7040B">
        <w:rPr>
          <w:rFonts w:ascii="Times" w:hAnsi="Times"/>
          <w:color w:val="000000" w:themeColor="text1"/>
          <w:lang w:val="fr-FR"/>
        </w:rPr>
        <w:t>,</w:t>
      </w:r>
      <w:r w:rsidR="004A43F5">
        <w:rPr>
          <w:rFonts w:ascii="Times" w:hAnsi="Times"/>
          <w:color w:val="000000" w:themeColor="text1"/>
          <w:lang w:val="fr-FR"/>
        </w:rPr>
        <w:t xml:space="preserve"> </w:t>
      </w:r>
      <w:r w:rsidR="000F2F50">
        <w:rPr>
          <w:rFonts w:ascii="Times" w:hAnsi="Times"/>
          <w:color w:val="000000" w:themeColor="text1"/>
          <w:lang w:val="fr-FR"/>
        </w:rPr>
        <w:t xml:space="preserve">est principalement soutenu par 2 mécènes : </w:t>
      </w:r>
      <w:r w:rsidR="00E7040B">
        <w:rPr>
          <w:rFonts w:ascii="Times" w:hAnsi="Times"/>
          <w:color w:val="000000" w:themeColor="text1"/>
          <w:lang w:val="fr-FR"/>
        </w:rPr>
        <w:t xml:space="preserve">d’une part, </w:t>
      </w:r>
      <w:r w:rsidR="000F2F50">
        <w:rPr>
          <w:rFonts w:ascii="Times" w:hAnsi="Times"/>
          <w:color w:val="000000" w:themeColor="text1"/>
          <w:lang w:val="fr-FR"/>
        </w:rPr>
        <w:t xml:space="preserve">la Banque Populaire Val de France et la Fondation Banque Populaire Val de France se sont engagées </w:t>
      </w:r>
      <w:r w:rsidR="00E7040B">
        <w:rPr>
          <w:rFonts w:ascii="Times" w:hAnsi="Times"/>
          <w:color w:val="000000" w:themeColor="text1"/>
          <w:lang w:val="fr-FR"/>
        </w:rPr>
        <w:t>à hauteur de 25 000 € par an (</w:t>
      </w:r>
      <w:r w:rsidR="000F2F50">
        <w:rPr>
          <w:rFonts w:ascii="Times" w:hAnsi="Times"/>
          <w:color w:val="000000" w:themeColor="text1"/>
          <w:lang w:val="fr-FR"/>
        </w:rPr>
        <w:t>2015 à 2017</w:t>
      </w:r>
      <w:r w:rsidR="00E7040B">
        <w:rPr>
          <w:rFonts w:ascii="Times" w:hAnsi="Times"/>
          <w:color w:val="000000" w:themeColor="text1"/>
          <w:lang w:val="fr-FR"/>
        </w:rPr>
        <w:t>), d’autre part,</w:t>
      </w:r>
      <w:r w:rsidR="000F2F50" w:rsidRPr="000F2F50">
        <w:rPr>
          <w:rFonts w:ascii="Times" w:hAnsi="Times"/>
          <w:color w:val="000000" w:themeColor="text1"/>
          <w:lang w:val="fr-FR"/>
        </w:rPr>
        <w:t xml:space="preserve"> </w:t>
      </w:r>
      <w:r w:rsidR="000F2F50">
        <w:rPr>
          <w:rFonts w:ascii="Times" w:hAnsi="Times"/>
          <w:color w:val="000000" w:themeColor="text1"/>
          <w:lang w:val="fr-FR"/>
        </w:rPr>
        <w:t>la Communauté d’agglomération de Saint-Quentin-en-Yvelines</w:t>
      </w:r>
      <w:r w:rsidR="00E7040B">
        <w:rPr>
          <w:rFonts w:ascii="Times" w:hAnsi="Times"/>
          <w:color w:val="000000" w:themeColor="text1"/>
          <w:lang w:val="fr-FR"/>
        </w:rPr>
        <w:t>, qui</w:t>
      </w:r>
      <w:r w:rsidR="000F2F50">
        <w:rPr>
          <w:rFonts w:ascii="Times" w:hAnsi="Times"/>
          <w:color w:val="000000" w:themeColor="text1"/>
          <w:lang w:val="fr-FR"/>
        </w:rPr>
        <w:t xml:space="preserve"> soutient la Fondation UVSQ depuis sa création à hauteur de 20 000 € par an</w:t>
      </w:r>
      <w:r w:rsidR="00E7040B">
        <w:rPr>
          <w:rFonts w:ascii="Times" w:hAnsi="Times"/>
          <w:color w:val="000000" w:themeColor="text1"/>
          <w:lang w:val="fr-FR"/>
        </w:rPr>
        <w:t xml:space="preserve">, a fléché son engagement 2015 sur le cluster </w:t>
      </w:r>
      <w:proofErr w:type="spellStart"/>
      <w:r w:rsidR="00E7040B">
        <w:rPr>
          <w:rFonts w:ascii="Times" w:hAnsi="Times"/>
          <w:color w:val="000000" w:themeColor="text1"/>
          <w:lang w:val="fr-FR"/>
        </w:rPr>
        <w:t>alumni</w:t>
      </w:r>
      <w:proofErr w:type="spellEnd"/>
      <w:r w:rsidR="00E7040B">
        <w:rPr>
          <w:rFonts w:ascii="Times" w:hAnsi="Times"/>
          <w:color w:val="000000" w:themeColor="text1"/>
          <w:lang w:val="fr-FR"/>
        </w:rPr>
        <w:t xml:space="preserve"> (en 2014 fléchage principal sur la bibliothèque</w:t>
      </w:r>
      <w:r w:rsidR="00B017EE">
        <w:rPr>
          <w:rFonts w:ascii="Times" w:hAnsi="Times"/>
          <w:color w:val="000000" w:themeColor="text1"/>
          <w:lang w:val="fr-FR"/>
        </w:rPr>
        <w:t>, auparavant sur les projets étudiants</w:t>
      </w:r>
      <w:r w:rsidR="00E7040B">
        <w:rPr>
          <w:rFonts w:ascii="Times" w:hAnsi="Times"/>
          <w:color w:val="000000" w:themeColor="text1"/>
          <w:lang w:val="fr-FR"/>
        </w:rPr>
        <w:t>)</w:t>
      </w:r>
      <w:r w:rsidR="000F2F50">
        <w:rPr>
          <w:rFonts w:ascii="Times" w:hAnsi="Times"/>
          <w:color w:val="000000" w:themeColor="text1"/>
          <w:lang w:val="fr-FR"/>
        </w:rPr>
        <w:t xml:space="preserve">. </w:t>
      </w:r>
    </w:p>
    <w:p w14:paraId="61B092A8" w14:textId="77777777" w:rsidR="004A43F5" w:rsidRDefault="004A43F5" w:rsidP="00BB3F63">
      <w:pPr>
        <w:rPr>
          <w:rFonts w:ascii="Times" w:hAnsi="Times"/>
          <w:color w:val="000000" w:themeColor="text1"/>
          <w:lang w:val="fr-FR"/>
        </w:rPr>
      </w:pPr>
    </w:p>
    <w:p w14:paraId="4DF719F0" w14:textId="536394A5" w:rsidR="004A43F5" w:rsidRDefault="004A43F5" w:rsidP="00BB3F63">
      <w:pPr>
        <w:rPr>
          <w:rFonts w:ascii="Times" w:hAnsi="Times"/>
          <w:color w:val="000000" w:themeColor="text1"/>
          <w:lang w:val="fr-FR"/>
        </w:rPr>
      </w:pPr>
      <w:r>
        <w:rPr>
          <w:rFonts w:ascii="Times" w:hAnsi="Times"/>
          <w:color w:val="000000" w:themeColor="text1"/>
          <w:lang w:val="fr-FR"/>
        </w:rPr>
        <w:t xml:space="preserve">25% des dons ont été affectés aux </w:t>
      </w:r>
      <w:r w:rsidRPr="00E7040B">
        <w:rPr>
          <w:rFonts w:ascii="Times" w:hAnsi="Times"/>
          <w:b/>
          <w:color w:val="000000" w:themeColor="text1"/>
          <w:lang w:val="fr-FR"/>
        </w:rPr>
        <w:t>différents projets qui concernent</w:t>
      </w:r>
      <w:r w:rsidR="00E7040B">
        <w:rPr>
          <w:rFonts w:ascii="Times" w:hAnsi="Times"/>
          <w:b/>
          <w:color w:val="000000" w:themeColor="text1"/>
          <w:lang w:val="fr-FR"/>
        </w:rPr>
        <w:t xml:space="preserve"> directement</w:t>
      </w:r>
      <w:r w:rsidRPr="00E7040B">
        <w:rPr>
          <w:rFonts w:ascii="Times" w:hAnsi="Times"/>
          <w:b/>
          <w:color w:val="000000" w:themeColor="text1"/>
          <w:lang w:val="fr-FR"/>
        </w:rPr>
        <w:t xml:space="preserve"> les étudiants</w:t>
      </w:r>
      <w:r>
        <w:rPr>
          <w:rFonts w:ascii="Times" w:hAnsi="Times"/>
          <w:color w:val="000000" w:themeColor="text1"/>
          <w:lang w:val="fr-FR"/>
        </w:rPr>
        <w:t>. 11% pour le projets étudiants et associatifs</w:t>
      </w:r>
      <w:r w:rsidR="002705C6">
        <w:rPr>
          <w:rFonts w:ascii="Times" w:hAnsi="Times"/>
          <w:color w:val="000000" w:themeColor="text1"/>
          <w:lang w:val="fr-FR"/>
        </w:rPr>
        <w:t xml:space="preserve"> et le soutien au </w:t>
      </w:r>
      <w:proofErr w:type="spellStart"/>
      <w:r w:rsidR="002705C6">
        <w:rPr>
          <w:rFonts w:ascii="Times" w:hAnsi="Times"/>
          <w:color w:val="000000" w:themeColor="text1"/>
          <w:lang w:val="fr-FR"/>
        </w:rPr>
        <w:t>crowdfunding</w:t>
      </w:r>
      <w:proofErr w:type="spellEnd"/>
      <w:r w:rsidR="002705C6">
        <w:rPr>
          <w:rFonts w:ascii="Times" w:hAnsi="Times"/>
          <w:color w:val="000000" w:themeColor="text1"/>
          <w:lang w:val="fr-FR"/>
        </w:rPr>
        <w:t xml:space="preserve"> étudiant</w:t>
      </w:r>
      <w:r>
        <w:rPr>
          <w:rFonts w:ascii="Times" w:hAnsi="Times"/>
          <w:color w:val="000000" w:themeColor="text1"/>
          <w:lang w:val="fr-FR"/>
        </w:rPr>
        <w:t xml:space="preserve">, 9% pour les projets pédagogiques (seconde chance, handicap étudiant, Versailles Science </w:t>
      </w:r>
      <w:proofErr w:type="spellStart"/>
      <w:r>
        <w:rPr>
          <w:rFonts w:ascii="Times" w:hAnsi="Times"/>
          <w:color w:val="000000" w:themeColor="text1"/>
          <w:lang w:val="fr-FR"/>
        </w:rPr>
        <w:t>Lab</w:t>
      </w:r>
      <w:proofErr w:type="spellEnd"/>
      <w:r>
        <w:rPr>
          <w:rFonts w:ascii="Times" w:hAnsi="Times"/>
          <w:color w:val="000000" w:themeColor="text1"/>
          <w:lang w:val="fr-FR"/>
        </w:rPr>
        <w:t xml:space="preserve">), et enfin 5% pour le soutien à la mobilité internationale. </w:t>
      </w:r>
    </w:p>
    <w:p w14:paraId="158315E4" w14:textId="77777777" w:rsidR="002B6F53" w:rsidRDefault="002B6F53" w:rsidP="00BB3F63">
      <w:pPr>
        <w:rPr>
          <w:rFonts w:ascii="Times" w:hAnsi="Times"/>
          <w:color w:val="000000" w:themeColor="text1"/>
          <w:lang w:val="fr-FR"/>
        </w:rPr>
      </w:pPr>
    </w:p>
    <w:p w14:paraId="60EB8D9D" w14:textId="77777777" w:rsidR="002B6F53" w:rsidRDefault="002B6F53" w:rsidP="00BB3F63">
      <w:pPr>
        <w:rPr>
          <w:rFonts w:ascii="Times" w:hAnsi="Times"/>
          <w:color w:val="000000" w:themeColor="text1"/>
          <w:lang w:val="fr-FR"/>
        </w:rPr>
      </w:pPr>
    </w:p>
    <w:p w14:paraId="47A4AC4E" w14:textId="77777777" w:rsidR="002B6F53" w:rsidRDefault="002B6F53" w:rsidP="00BB3F63">
      <w:pPr>
        <w:rPr>
          <w:rFonts w:ascii="Times" w:hAnsi="Times"/>
          <w:color w:val="000000" w:themeColor="text1"/>
          <w:lang w:val="fr-FR"/>
        </w:rPr>
      </w:pPr>
    </w:p>
    <w:p w14:paraId="41757EDA" w14:textId="77777777" w:rsidR="002B6F53" w:rsidRDefault="002B6F53" w:rsidP="00BB3F63">
      <w:pPr>
        <w:rPr>
          <w:rFonts w:ascii="Times" w:hAnsi="Times"/>
          <w:color w:val="000000" w:themeColor="text1"/>
          <w:lang w:val="fr-FR"/>
        </w:rPr>
      </w:pPr>
    </w:p>
    <w:p w14:paraId="37BDE7E4" w14:textId="4724BD09" w:rsidR="00D37285" w:rsidRDefault="00D37285">
      <w:pPr>
        <w:rPr>
          <w:rFonts w:ascii="Times" w:hAnsi="Times"/>
          <w:b/>
          <w:lang w:val="fr-FR"/>
        </w:rPr>
      </w:pPr>
      <w:r w:rsidRPr="00D37285">
        <w:rPr>
          <w:rFonts w:ascii="Times" w:hAnsi="Times"/>
          <w:b/>
          <w:lang w:val="fr-FR"/>
        </w:rPr>
        <w:lastRenderedPageBreak/>
        <w:t>5. Les dépenses de la fondation</w:t>
      </w:r>
    </w:p>
    <w:p w14:paraId="53904EDB" w14:textId="1A43345E" w:rsidR="002B6F53" w:rsidRDefault="002B6F53" w:rsidP="002B6F53">
      <w:pPr>
        <w:rPr>
          <w:rFonts w:ascii="Times" w:hAnsi="Times"/>
          <w:lang w:val="fr-FR"/>
        </w:rPr>
      </w:pPr>
      <w:r w:rsidRPr="00D37285">
        <w:rPr>
          <w:rFonts w:ascii="Times" w:hAnsi="Times"/>
          <w:lang w:val="fr-FR"/>
        </w:rPr>
        <w:t xml:space="preserve">Les missions sociales de la fondation représentent </w:t>
      </w:r>
      <w:r>
        <w:rPr>
          <w:rFonts w:ascii="Times" w:hAnsi="Times"/>
          <w:lang w:val="fr-FR"/>
        </w:rPr>
        <w:t>78% des ressources de la fondation. Les frais de recherche de fonds sont de 9%. Les frais de fonctionnement de 12% correspondent aux frais de structure de la fondation (expertise comptable, développement informatique, communication, établissement des reçus fiscaux, remerciements, affranchissement, etc.).</w:t>
      </w:r>
    </w:p>
    <w:p w14:paraId="76D60ACC" w14:textId="77777777" w:rsidR="00D37285" w:rsidRDefault="00D37285">
      <w:pPr>
        <w:rPr>
          <w:rFonts w:ascii="Times" w:hAnsi="Times"/>
          <w:lang w:val="fr-FR"/>
        </w:rPr>
      </w:pPr>
    </w:p>
    <w:p w14:paraId="179E312B" w14:textId="77777777" w:rsidR="00E7040B" w:rsidRDefault="00E7040B" w:rsidP="00E7040B">
      <w:pPr>
        <w:rPr>
          <w:rFonts w:ascii="Times" w:hAnsi="Times"/>
          <w:lang w:val="fr-FR"/>
        </w:rPr>
      </w:pPr>
    </w:p>
    <w:p w14:paraId="36E78500" w14:textId="275DC413" w:rsidR="00D37285" w:rsidRDefault="00D37285">
      <w:pPr>
        <w:rPr>
          <w:rFonts w:ascii="Times" w:hAnsi="Times"/>
          <w:lang w:val="fr-FR"/>
        </w:rPr>
      </w:pPr>
      <w:r w:rsidRPr="00D37285">
        <w:rPr>
          <w:noProof/>
          <w:lang w:val="fr-FR"/>
        </w:rPr>
        <w:drawing>
          <wp:inline distT="0" distB="0" distL="0" distR="0" wp14:anchorId="5337C207" wp14:editId="14C24547">
            <wp:extent cx="5756910" cy="4140495"/>
            <wp:effectExtent l="0" t="0" r="34290" b="25400"/>
            <wp:docPr id="5" name="Graphique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6AE610FD" w14:textId="211ACAF7" w:rsidR="00D37285" w:rsidRPr="00295262" w:rsidRDefault="00295262">
      <w:pPr>
        <w:rPr>
          <w:rFonts w:ascii="Times" w:hAnsi="Times"/>
          <w:sz w:val="20"/>
          <w:szCs w:val="20"/>
          <w:lang w:val="fr-FR"/>
        </w:rPr>
      </w:pPr>
      <w:r w:rsidRPr="00295262">
        <w:rPr>
          <w:rFonts w:ascii="Times" w:hAnsi="Times"/>
          <w:sz w:val="20"/>
          <w:szCs w:val="20"/>
          <w:lang w:val="fr-FR"/>
        </w:rPr>
        <w:t xml:space="preserve">Figure 3 : </w:t>
      </w:r>
      <w:r w:rsidR="00D37285" w:rsidRPr="00295262">
        <w:rPr>
          <w:rFonts w:ascii="Times" w:hAnsi="Times"/>
          <w:sz w:val="20"/>
          <w:szCs w:val="20"/>
          <w:lang w:val="fr-FR"/>
        </w:rPr>
        <w:t>Dépenses de la fondation par type d’activité</w:t>
      </w:r>
    </w:p>
    <w:p w14:paraId="7E785E86" w14:textId="77777777" w:rsidR="00D37285" w:rsidRDefault="00D37285">
      <w:pPr>
        <w:rPr>
          <w:rFonts w:ascii="Times" w:hAnsi="Times"/>
          <w:lang w:val="fr-FR"/>
        </w:rPr>
      </w:pPr>
    </w:p>
    <w:p w14:paraId="4CA05506" w14:textId="77777777" w:rsidR="00E7040B" w:rsidRDefault="00E7040B">
      <w:pPr>
        <w:rPr>
          <w:rFonts w:ascii="Times" w:hAnsi="Times"/>
          <w:lang w:val="fr-FR"/>
        </w:rPr>
      </w:pPr>
    </w:p>
    <w:p w14:paraId="43078081" w14:textId="77777777" w:rsidR="00E7040B" w:rsidRDefault="00E7040B">
      <w:pPr>
        <w:rPr>
          <w:rFonts w:ascii="Times" w:hAnsi="Times"/>
          <w:lang w:val="fr-FR"/>
        </w:rPr>
      </w:pPr>
    </w:p>
    <w:p w14:paraId="30B404C6" w14:textId="651F605B" w:rsidR="00224D12" w:rsidRPr="00224D12" w:rsidRDefault="00224D12">
      <w:pPr>
        <w:rPr>
          <w:rFonts w:ascii="Times" w:hAnsi="Times"/>
          <w:b/>
          <w:lang w:val="fr-FR"/>
        </w:rPr>
      </w:pPr>
      <w:r w:rsidRPr="00224D12">
        <w:rPr>
          <w:rFonts w:ascii="Times" w:hAnsi="Times"/>
          <w:b/>
          <w:lang w:val="fr-FR"/>
        </w:rPr>
        <w:t>6. Gestion des projets</w:t>
      </w:r>
    </w:p>
    <w:p w14:paraId="0527DB94" w14:textId="5B6D7914" w:rsidR="00224D12" w:rsidRDefault="00224D12">
      <w:pPr>
        <w:rPr>
          <w:rFonts w:ascii="Times" w:hAnsi="Times"/>
          <w:lang w:val="fr-FR"/>
        </w:rPr>
      </w:pPr>
      <w:r>
        <w:rPr>
          <w:rFonts w:ascii="Times" w:hAnsi="Times"/>
          <w:lang w:val="fr-FR"/>
        </w:rPr>
        <w:t xml:space="preserve">Chaque projet financé par la fondation donne lieu à un suivi comptable individualisé. La traçabilité de l’utilisation des dons en accord avec la volonté du donateur est ainsi garantie. L’UVSQ assure la mise en œuvre des projets. La fondation gère en direct le programme cluster </w:t>
      </w:r>
      <w:proofErr w:type="spellStart"/>
      <w:r>
        <w:rPr>
          <w:rFonts w:ascii="Times" w:hAnsi="Times"/>
          <w:lang w:val="fr-FR"/>
        </w:rPr>
        <w:t>alumni</w:t>
      </w:r>
      <w:proofErr w:type="spellEnd"/>
      <w:r>
        <w:rPr>
          <w:rFonts w:ascii="Times" w:hAnsi="Times"/>
          <w:lang w:val="fr-FR"/>
        </w:rPr>
        <w:t xml:space="preserve"> pour lequel une collaboratrice a été recrutée s</w:t>
      </w:r>
      <w:r w:rsidR="002F465E">
        <w:rPr>
          <w:rFonts w:ascii="Times" w:hAnsi="Times"/>
          <w:lang w:val="fr-FR"/>
        </w:rPr>
        <w:t>u</w:t>
      </w:r>
      <w:r>
        <w:rPr>
          <w:rFonts w:ascii="Times" w:hAnsi="Times"/>
          <w:lang w:val="fr-FR"/>
        </w:rPr>
        <w:t xml:space="preserve">r les fonds </w:t>
      </w:r>
      <w:r w:rsidR="002F465E">
        <w:rPr>
          <w:rFonts w:ascii="Times" w:hAnsi="Times"/>
          <w:lang w:val="fr-FR"/>
        </w:rPr>
        <w:t xml:space="preserve">fléchés </w:t>
      </w:r>
      <w:r>
        <w:rPr>
          <w:rFonts w:ascii="Times" w:hAnsi="Times"/>
          <w:lang w:val="fr-FR"/>
        </w:rPr>
        <w:t>apportés par le mécénat.</w:t>
      </w:r>
    </w:p>
    <w:p w14:paraId="11CAE5C9" w14:textId="20C8AF90" w:rsidR="002F465E" w:rsidRDefault="002F465E">
      <w:pPr>
        <w:rPr>
          <w:rFonts w:ascii="Times" w:hAnsi="Times"/>
          <w:lang w:val="fr-FR"/>
        </w:rPr>
      </w:pPr>
      <w:r>
        <w:rPr>
          <w:rFonts w:ascii="Times" w:hAnsi="Times"/>
          <w:lang w:val="fr-FR"/>
        </w:rPr>
        <w:t xml:space="preserve">Une convention entre la Fondation UVSQ et l’UVSQ définit les modalités de fonctionnement par projet. Les activités de la Fondation UVSQ sont contrôlées par le conseil d’administration et le bureau de la </w:t>
      </w:r>
      <w:r w:rsidR="00295262">
        <w:rPr>
          <w:rFonts w:ascii="Times" w:hAnsi="Times"/>
          <w:lang w:val="fr-FR"/>
        </w:rPr>
        <w:t>f</w:t>
      </w:r>
      <w:r>
        <w:rPr>
          <w:rFonts w:ascii="Times" w:hAnsi="Times"/>
          <w:lang w:val="fr-FR"/>
        </w:rPr>
        <w:t xml:space="preserve">ondation. Les comptes de la Fondation UVSQ sont établis par </w:t>
      </w:r>
      <w:r w:rsidR="002707BF">
        <w:rPr>
          <w:rFonts w:ascii="Times" w:hAnsi="Times"/>
          <w:lang w:val="fr-FR"/>
        </w:rPr>
        <w:t>un expert-comptable et certifié</w:t>
      </w:r>
      <w:r>
        <w:rPr>
          <w:rFonts w:ascii="Times" w:hAnsi="Times"/>
          <w:lang w:val="fr-FR"/>
        </w:rPr>
        <w:t xml:space="preserve">s par un commissaire aux comptes. </w:t>
      </w:r>
    </w:p>
    <w:p w14:paraId="56A18C44" w14:textId="77777777" w:rsidR="002F465E" w:rsidRDefault="002F465E">
      <w:pPr>
        <w:rPr>
          <w:rFonts w:ascii="Times" w:hAnsi="Times"/>
          <w:lang w:val="fr-FR"/>
        </w:rPr>
      </w:pPr>
    </w:p>
    <w:p w14:paraId="11D9A677" w14:textId="77777777" w:rsidR="00E7040B" w:rsidRDefault="00E7040B">
      <w:pPr>
        <w:rPr>
          <w:rFonts w:ascii="Times" w:hAnsi="Times"/>
          <w:lang w:val="fr-FR"/>
        </w:rPr>
      </w:pPr>
    </w:p>
    <w:p w14:paraId="65D3CF49" w14:textId="77777777" w:rsidR="00E7040B" w:rsidRDefault="00E7040B">
      <w:pPr>
        <w:rPr>
          <w:rFonts w:ascii="Times" w:hAnsi="Times"/>
          <w:lang w:val="fr-FR"/>
        </w:rPr>
      </w:pPr>
    </w:p>
    <w:p w14:paraId="5E936FDC" w14:textId="77777777" w:rsidR="00E7040B" w:rsidRDefault="00E7040B">
      <w:pPr>
        <w:rPr>
          <w:rFonts w:ascii="Times" w:hAnsi="Times"/>
          <w:b/>
          <w:lang w:val="fr-FR"/>
        </w:rPr>
      </w:pPr>
    </w:p>
    <w:p w14:paraId="5937285B" w14:textId="77777777" w:rsidR="00E7040B" w:rsidRDefault="00E7040B">
      <w:pPr>
        <w:rPr>
          <w:rFonts w:ascii="Times" w:hAnsi="Times"/>
          <w:b/>
          <w:lang w:val="fr-FR"/>
        </w:rPr>
      </w:pPr>
    </w:p>
    <w:p w14:paraId="3414184E" w14:textId="77777777" w:rsidR="00E7040B" w:rsidRDefault="00E7040B">
      <w:pPr>
        <w:rPr>
          <w:rFonts w:ascii="Times" w:hAnsi="Times"/>
          <w:b/>
          <w:lang w:val="fr-FR"/>
        </w:rPr>
      </w:pPr>
    </w:p>
    <w:p w14:paraId="1E039395" w14:textId="0AC4476A" w:rsidR="002F465E" w:rsidRPr="002F465E" w:rsidRDefault="002F465E">
      <w:pPr>
        <w:rPr>
          <w:rFonts w:ascii="Times" w:hAnsi="Times"/>
          <w:b/>
          <w:lang w:val="fr-FR"/>
        </w:rPr>
      </w:pPr>
      <w:r w:rsidRPr="002F465E">
        <w:rPr>
          <w:rFonts w:ascii="Times" w:hAnsi="Times"/>
          <w:b/>
          <w:lang w:val="fr-FR"/>
        </w:rPr>
        <w:lastRenderedPageBreak/>
        <w:t>7. Vie de la Fondation</w:t>
      </w:r>
    </w:p>
    <w:p w14:paraId="73E21578" w14:textId="5E837424" w:rsidR="00BB10BC" w:rsidRDefault="00BB10BC">
      <w:pPr>
        <w:rPr>
          <w:rFonts w:ascii="Times" w:hAnsi="Times"/>
          <w:lang w:val="fr-FR"/>
        </w:rPr>
      </w:pPr>
      <w:r>
        <w:rPr>
          <w:rFonts w:ascii="Times" w:hAnsi="Times"/>
          <w:lang w:val="fr-FR"/>
        </w:rPr>
        <w:t xml:space="preserve">Au cours de l’année 2015, le conseil d’administration s’est réunit </w:t>
      </w:r>
      <w:r w:rsidR="00295262">
        <w:rPr>
          <w:rFonts w:ascii="Times" w:hAnsi="Times"/>
          <w:lang w:val="fr-FR"/>
        </w:rPr>
        <w:t xml:space="preserve">3 fois : </w:t>
      </w:r>
      <w:r>
        <w:rPr>
          <w:rFonts w:ascii="Times" w:hAnsi="Times"/>
          <w:lang w:val="fr-FR"/>
        </w:rPr>
        <w:t>les 26 mars, 26 juin et 6 novembre.</w:t>
      </w:r>
      <w:r w:rsidR="00A874ED">
        <w:rPr>
          <w:rFonts w:ascii="Times" w:hAnsi="Times"/>
          <w:lang w:val="fr-FR"/>
        </w:rPr>
        <w:t xml:space="preserve"> </w:t>
      </w:r>
    </w:p>
    <w:p w14:paraId="09C41C3C" w14:textId="77777777" w:rsidR="00E7040B" w:rsidRDefault="00E7040B" w:rsidP="00F31C4C">
      <w:pPr>
        <w:rPr>
          <w:rFonts w:ascii="Times" w:hAnsi="Times"/>
          <w:lang w:val="fr-FR"/>
        </w:rPr>
      </w:pPr>
    </w:p>
    <w:p w14:paraId="4963A95D" w14:textId="6FFAEB56" w:rsidR="00BB10BC" w:rsidRDefault="00BB10BC" w:rsidP="00F31C4C">
      <w:pPr>
        <w:rPr>
          <w:rFonts w:ascii="Times" w:hAnsi="Times"/>
          <w:lang w:val="fr-FR"/>
        </w:rPr>
      </w:pPr>
      <w:r>
        <w:rPr>
          <w:rFonts w:ascii="Times" w:hAnsi="Times"/>
          <w:lang w:val="fr-FR"/>
        </w:rPr>
        <w:t>Les faits significatifs au cours de l’exercice sont les suivants :</w:t>
      </w:r>
    </w:p>
    <w:p w14:paraId="5EE3F5DB" w14:textId="0E34CCCE" w:rsidR="00F31C4C" w:rsidRDefault="00F31C4C" w:rsidP="00F31C4C">
      <w:pPr>
        <w:pStyle w:val="Paragraphedeliste"/>
        <w:ind w:left="0"/>
        <w:rPr>
          <w:rFonts w:ascii="Times" w:hAnsi="Times"/>
          <w:lang w:val="fr-FR"/>
        </w:rPr>
      </w:pPr>
      <w:r>
        <w:rPr>
          <w:rFonts w:ascii="Times" w:hAnsi="Times"/>
          <w:lang w:val="fr-FR"/>
        </w:rPr>
        <w:t xml:space="preserve">- </w:t>
      </w:r>
      <w:r w:rsidRPr="00F31C4C">
        <w:rPr>
          <w:rFonts w:ascii="Times" w:hAnsi="Times"/>
          <w:lang w:val="fr-FR"/>
        </w:rPr>
        <w:t xml:space="preserve">Accueil de deux nouveaux administrateurs dans le collège des membres qualifiés : Florence </w:t>
      </w:r>
      <w:proofErr w:type="spellStart"/>
      <w:r w:rsidRPr="00F31C4C">
        <w:rPr>
          <w:rFonts w:ascii="Times" w:hAnsi="Times"/>
          <w:lang w:val="fr-FR"/>
        </w:rPr>
        <w:t>Mercadé</w:t>
      </w:r>
      <w:proofErr w:type="spellEnd"/>
      <w:r w:rsidRPr="00F31C4C">
        <w:rPr>
          <w:rFonts w:ascii="Times" w:hAnsi="Times"/>
          <w:lang w:val="fr-FR"/>
        </w:rPr>
        <w:t xml:space="preserve">-Choquet, </w:t>
      </w:r>
      <w:proofErr w:type="spellStart"/>
      <w:r w:rsidRPr="00F31C4C">
        <w:rPr>
          <w:rFonts w:ascii="Times" w:hAnsi="Times"/>
        </w:rPr>
        <w:t>Avocate</w:t>
      </w:r>
      <w:proofErr w:type="spellEnd"/>
      <w:r w:rsidRPr="00F31C4C">
        <w:rPr>
          <w:rFonts w:ascii="Times" w:hAnsi="Times"/>
        </w:rPr>
        <w:t xml:space="preserve"> et </w:t>
      </w:r>
      <w:proofErr w:type="spellStart"/>
      <w:r w:rsidRPr="00F31C4C">
        <w:rPr>
          <w:rFonts w:ascii="Times" w:hAnsi="Times"/>
        </w:rPr>
        <w:t>associée</w:t>
      </w:r>
      <w:proofErr w:type="spellEnd"/>
      <w:r w:rsidRPr="00F31C4C">
        <w:rPr>
          <w:rFonts w:ascii="Times" w:hAnsi="Times"/>
        </w:rPr>
        <w:t xml:space="preserve"> du cabinet LMC </w:t>
      </w:r>
      <w:proofErr w:type="spellStart"/>
      <w:r w:rsidRPr="00F31C4C">
        <w:rPr>
          <w:rFonts w:ascii="Times" w:hAnsi="Times"/>
        </w:rPr>
        <w:t>Partenaires</w:t>
      </w:r>
      <w:proofErr w:type="spellEnd"/>
      <w:r w:rsidR="00295262">
        <w:rPr>
          <w:rFonts w:ascii="Times" w:hAnsi="Times"/>
        </w:rPr>
        <w:t xml:space="preserve"> (</w:t>
      </w:r>
      <w:r w:rsidRPr="00F31C4C">
        <w:rPr>
          <w:rFonts w:ascii="Times" w:hAnsi="Times"/>
        </w:rPr>
        <w:t>le 26 mars 2015</w:t>
      </w:r>
      <w:r w:rsidR="00295262">
        <w:rPr>
          <w:rFonts w:ascii="Times" w:hAnsi="Times"/>
        </w:rPr>
        <w:t>)</w:t>
      </w:r>
      <w:r w:rsidRPr="00F31C4C">
        <w:rPr>
          <w:rFonts w:ascii="Times" w:hAnsi="Times"/>
          <w:lang w:val="fr-FR"/>
        </w:rPr>
        <w:t xml:space="preserve"> et Pascal Gombert, directeur de groupe BPVF </w:t>
      </w:r>
      <w:r w:rsidR="00295262">
        <w:rPr>
          <w:rFonts w:ascii="Times" w:hAnsi="Times"/>
          <w:lang w:val="fr-FR"/>
        </w:rPr>
        <w:t>(</w:t>
      </w:r>
      <w:r w:rsidRPr="00F31C4C">
        <w:rPr>
          <w:rFonts w:ascii="Times" w:hAnsi="Times"/>
          <w:lang w:val="fr-FR"/>
        </w:rPr>
        <w:t>le 6 novembre 2015</w:t>
      </w:r>
      <w:r w:rsidR="00295262">
        <w:rPr>
          <w:rFonts w:ascii="Times" w:hAnsi="Times"/>
          <w:lang w:val="fr-FR"/>
        </w:rPr>
        <w:t>)</w:t>
      </w:r>
      <w:r w:rsidRPr="00F31C4C">
        <w:rPr>
          <w:rFonts w:ascii="Times" w:hAnsi="Times"/>
          <w:lang w:val="fr-FR"/>
        </w:rPr>
        <w:t>.</w:t>
      </w:r>
    </w:p>
    <w:p w14:paraId="5430EA8C" w14:textId="77777777" w:rsidR="00F25CEA" w:rsidRDefault="00F31C4C" w:rsidP="00F31C4C">
      <w:pPr>
        <w:pStyle w:val="Paragraphedeliste"/>
        <w:ind w:left="0"/>
        <w:rPr>
          <w:rFonts w:ascii="Times" w:hAnsi="Times"/>
          <w:lang w:val="fr-FR"/>
        </w:rPr>
      </w:pPr>
      <w:r>
        <w:rPr>
          <w:rFonts w:ascii="Times" w:hAnsi="Times"/>
          <w:lang w:val="fr-FR"/>
        </w:rPr>
        <w:t xml:space="preserve">- </w:t>
      </w:r>
      <w:r w:rsidR="00BB10BC" w:rsidRPr="00F31C4C">
        <w:rPr>
          <w:rFonts w:ascii="Times" w:hAnsi="Times"/>
          <w:lang w:val="fr-FR"/>
        </w:rPr>
        <w:t>Election du président Yves Fouchet le 26 juin 2015</w:t>
      </w:r>
      <w:r w:rsidR="00F25CEA">
        <w:rPr>
          <w:rFonts w:ascii="Times" w:hAnsi="Times"/>
          <w:lang w:val="fr-FR"/>
        </w:rPr>
        <w:t>.</w:t>
      </w:r>
    </w:p>
    <w:p w14:paraId="0A416B76" w14:textId="0E7532C7" w:rsidR="002F465E" w:rsidRDefault="00BB10BC" w:rsidP="00F31C4C">
      <w:pPr>
        <w:rPr>
          <w:rFonts w:ascii="Times" w:hAnsi="Times"/>
          <w:lang w:val="fr-FR"/>
        </w:rPr>
      </w:pPr>
      <w:r>
        <w:rPr>
          <w:rFonts w:ascii="Times" w:hAnsi="Times"/>
          <w:lang w:val="fr-FR"/>
        </w:rPr>
        <w:t xml:space="preserve">- Remplacement de Melody </w:t>
      </w:r>
      <w:proofErr w:type="spellStart"/>
      <w:r>
        <w:rPr>
          <w:rFonts w:ascii="Times" w:hAnsi="Times"/>
          <w:lang w:val="fr-FR"/>
        </w:rPr>
        <w:t>Baillat</w:t>
      </w:r>
      <w:proofErr w:type="spellEnd"/>
      <w:r>
        <w:rPr>
          <w:rFonts w:ascii="Times" w:hAnsi="Times"/>
          <w:lang w:val="fr-FR"/>
        </w:rPr>
        <w:t xml:space="preserve">, apprentie, sur le poste d’assistante de collecte, par Albane </w:t>
      </w:r>
      <w:proofErr w:type="spellStart"/>
      <w:r>
        <w:rPr>
          <w:rFonts w:ascii="Times" w:hAnsi="Times"/>
          <w:lang w:val="fr-FR"/>
        </w:rPr>
        <w:t>Valtaud</w:t>
      </w:r>
      <w:proofErr w:type="spellEnd"/>
      <w:r>
        <w:rPr>
          <w:rFonts w:ascii="Times" w:hAnsi="Times"/>
          <w:lang w:val="fr-FR"/>
        </w:rPr>
        <w:t>, apprentie</w:t>
      </w:r>
      <w:r w:rsidR="00CF1E45">
        <w:rPr>
          <w:rFonts w:ascii="Times" w:hAnsi="Times"/>
          <w:lang w:val="fr-FR"/>
        </w:rPr>
        <w:t>, recrutée</w:t>
      </w:r>
      <w:r>
        <w:rPr>
          <w:rFonts w:ascii="Times" w:hAnsi="Times"/>
          <w:lang w:val="fr-FR"/>
        </w:rPr>
        <w:t xml:space="preserve"> sur le poste d’assistante relations donateurs </w:t>
      </w:r>
      <w:r w:rsidR="00CF1E45">
        <w:rPr>
          <w:rFonts w:ascii="Times" w:hAnsi="Times"/>
          <w:lang w:val="fr-FR"/>
        </w:rPr>
        <w:t>le 21 septembre 2015.</w:t>
      </w:r>
    </w:p>
    <w:p w14:paraId="07F2741D" w14:textId="35886953" w:rsidR="00BB10BC" w:rsidRDefault="00BB10BC" w:rsidP="00F31C4C">
      <w:pPr>
        <w:rPr>
          <w:rFonts w:ascii="Times" w:hAnsi="Times"/>
          <w:lang w:val="fr-FR"/>
        </w:rPr>
      </w:pPr>
      <w:r>
        <w:rPr>
          <w:rFonts w:ascii="Times" w:hAnsi="Times"/>
          <w:lang w:val="fr-FR"/>
        </w:rPr>
        <w:t xml:space="preserve">- Recrutement de Nancy </w:t>
      </w:r>
      <w:proofErr w:type="spellStart"/>
      <w:r>
        <w:rPr>
          <w:rFonts w:ascii="Times" w:hAnsi="Times"/>
          <w:lang w:val="fr-FR"/>
        </w:rPr>
        <w:t>Bramble</w:t>
      </w:r>
      <w:proofErr w:type="spellEnd"/>
      <w:r>
        <w:rPr>
          <w:rFonts w:ascii="Times" w:hAnsi="Times"/>
          <w:lang w:val="fr-FR"/>
        </w:rPr>
        <w:t xml:space="preserve">, apprentie, sur les fonctions de collaboratrice réseau </w:t>
      </w:r>
      <w:proofErr w:type="spellStart"/>
      <w:r>
        <w:rPr>
          <w:rFonts w:ascii="Times" w:hAnsi="Times"/>
          <w:lang w:val="fr-FR"/>
        </w:rPr>
        <w:t>alumni</w:t>
      </w:r>
      <w:proofErr w:type="spellEnd"/>
      <w:r>
        <w:rPr>
          <w:rFonts w:ascii="Times" w:hAnsi="Times"/>
          <w:lang w:val="fr-FR"/>
        </w:rPr>
        <w:t xml:space="preserve"> </w:t>
      </w:r>
      <w:r w:rsidR="00CF1E45">
        <w:rPr>
          <w:rFonts w:ascii="Times" w:hAnsi="Times"/>
          <w:lang w:val="fr-FR"/>
        </w:rPr>
        <w:t>le 21 septembre 2015.</w:t>
      </w:r>
    </w:p>
    <w:p w14:paraId="392437B4" w14:textId="6AD33913" w:rsidR="00F31C4C" w:rsidRDefault="00F31C4C" w:rsidP="00F31C4C">
      <w:pPr>
        <w:rPr>
          <w:rFonts w:ascii="Times" w:hAnsi="Times"/>
          <w:lang w:val="fr-FR"/>
        </w:rPr>
      </w:pPr>
      <w:r>
        <w:rPr>
          <w:rFonts w:ascii="Times" w:hAnsi="Times"/>
          <w:lang w:val="fr-FR"/>
        </w:rPr>
        <w:t xml:space="preserve">- Changement de directeur général au 31 décembre 2015 : Grégory </w:t>
      </w:r>
      <w:proofErr w:type="spellStart"/>
      <w:r>
        <w:rPr>
          <w:rFonts w:ascii="Times" w:hAnsi="Times"/>
          <w:lang w:val="fr-FR"/>
        </w:rPr>
        <w:t>Quénet</w:t>
      </w:r>
      <w:proofErr w:type="spellEnd"/>
      <w:r>
        <w:rPr>
          <w:rFonts w:ascii="Times" w:hAnsi="Times"/>
          <w:lang w:val="fr-FR"/>
        </w:rPr>
        <w:t xml:space="preserve"> devient administrateur au titre du collège des fondateurs.</w:t>
      </w:r>
    </w:p>
    <w:p w14:paraId="75C46D2F" w14:textId="77777777" w:rsidR="00A874ED" w:rsidRDefault="00A874ED" w:rsidP="00A874ED">
      <w:pPr>
        <w:rPr>
          <w:rFonts w:ascii="Times" w:hAnsi="Times"/>
          <w:lang w:val="fr-FR"/>
        </w:rPr>
      </w:pPr>
    </w:p>
    <w:p w14:paraId="740B6F94" w14:textId="6AF8C0A1" w:rsidR="00A874ED" w:rsidRPr="00BB3F63" w:rsidRDefault="00E7040B" w:rsidP="00A874ED">
      <w:pPr>
        <w:rPr>
          <w:rFonts w:ascii="Times" w:hAnsi="Times"/>
          <w:lang w:val="fr-FR"/>
        </w:rPr>
      </w:pPr>
      <w:r>
        <w:rPr>
          <w:rFonts w:ascii="Times" w:hAnsi="Times"/>
          <w:lang w:val="fr-FR"/>
        </w:rPr>
        <w:t xml:space="preserve">2015 est </w:t>
      </w:r>
      <w:r w:rsidR="00A874ED" w:rsidRPr="00BB3F63">
        <w:rPr>
          <w:rFonts w:ascii="Times" w:hAnsi="Times"/>
          <w:lang w:val="fr-FR"/>
        </w:rPr>
        <w:t xml:space="preserve">marquée par la </w:t>
      </w:r>
      <w:r w:rsidR="00A874ED">
        <w:rPr>
          <w:rFonts w:ascii="Times" w:hAnsi="Times"/>
          <w:lang w:val="fr-FR"/>
        </w:rPr>
        <w:t xml:space="preserve">réussite de la </w:t>
      </w:r>
      <w:r w:rsidR="00A874ED" w:rsidRPr="00BB3F63">
        <w:rPr>
          <w:rFonts w:ascii="Times" w:hAnsi="Times"/>
          <w:lang w:val="fr-FR"/>
        </w:rPr>
        <w:t>campagne de collecte de dons pour la bibliothèque universitaire</w:t>
      </w:r>
      <w:r w:rsidR="00A874ED">
        <w:rPr>
          <w:rFonts w:ascii="Times" w:hAnsi="Times"/>
          <w:lang w:val="fr-FR"/>
        </w:rPr>
        <w:t>,</w:t>
      </w:r>
      <w:r w:rsidR="00A874ED" w:rsidRPr="00BB3F63">
        <w:rPr>
          <w:rFonts w:ascii="Times" w:hAnsi="Times"/>
          <w:lang w:val="fr-FR"/>
        </w:rPr>
        <w:t xml:space="preserve"> </w:t>
      </w:r>
      <w:r>
        <w:rPr>
          <w:rFonts w:ascii="Times" w:hAnsi="Times"/>
          <w:lang w:val="fr-FR"/>
        </w:rPr>
        <w:t xml:space="preserve">par </w:t>
      </w:r>
      <w:r w:rsidR="00A874ED" w:rsidRPr="00BB3F63">
        <w:rPr>
          <w:rFonts w:ascii="Times" w:hAnsi="Times"/>
          <w:lang w:val="fr-FR"/>
        </w:rPr>
        <w:t xml:space="preserve">les premières actions menées pour le développement des relations avec les </w:t>
      </w:r>
      <w:proofErr w:type="spellStart"/>
      <w:r w:rsidR="00A874ED" w:rsidRPr="00BB3F63">
        <w:rPr>
          <w:rFonts w:ascii="Times" w:hAnsi="Times"/>
          <w:lang w:val="fr-FR"/>
        </w:rPr>
        <w:t>alumni</w:t>
      </w:r>
      <w:proofErr w:type="spellEnd"/>
      <w:r w:rsidR="00A874ED">
        <w:rPr>
          <w:rFonts w:ascii="Times" w:hAnsi="Times"/>
          <w:lang w:val="fr-FR"/>
        </w:rPr>
        <w:t xml:space="preserve"> et </w:t>
      </w:r>
      <w:r>
        <w:rPr>
          <w:rFonts w:ascii="Times" w:hAnsi="Times"/>
          <w:lang w:val="fr-FR"/>
        </w:rPr>
        <w:t xml:space="preserve">par </w:t>
      </w:r>
      <w:r w:rsidR="00A874ED">
        <w:rPr>
          <w:rFonts w:ascii="Times" w:hAnsi="Times"/>
          <w:lang w:val="fr-FR"/>
        </w:rPr>
        <w:t>le lancement du Fond initiatives solidaires (</w:t>
      </w:r>
      <w:proofErr w:type="spellStart"/>
      <w:r w:rsidR="00A874ED">
        <w:rPr>
          <w:rFonts w:ascii="Times" w:hAnsi="Times"/>
          <w:lang w:val="fr-FR"/>
        </w:rPr>
        <w:t>crowdfunding</w:t>
      </w:r>
      <w:proofErr w:type="spellEnd"/>
      <w:r w:rsidR="00A874ED">
        <w:rPr>
          <w:rFonts w:ascii="Times" w:hAnsi="Times"/>
          <w:lang w:val="fr-FR"/>
        </w:rPr>
        <w:t xml:space="preserve"> étudiant)</w:t>
      </w:r>
      <w:r w:rsidR="00A874ED" w:rsidRPr="00BB3F63">
        <w:rPr>
          <w:rFonts w:ascii="Times" w:hAnsi="Times"/>
          <w:lang w:val="fr-FR"/>
        </w:rPr>
        <w:t>.</w:t>
      </w:r>
    </w:p>
    <w:p w14:paraId="0BBE4587" w14:textId="77777777" w:rsidR="00A874ED" w:rsidRPr="00BB3F63" w:rsidRDefault="00A874ED" w:rsidP="00A874ED">
      <w:pPr>
        <w:rPr>
          <w:rFonts w:ascii="Times" w:hAnsi="Times"/>
          <w:lang w:val="fr-FR"/>
        </w:rPr>
      </w:pPr>
    </w:p>
    <w:sectPr w:rsidR="00A874ED" w:rsidRPr="00BB3F63" w:rsidSect="00E7040B">
      <w:footerReference w:type="even" r:id="rId11"/>
      <w:footerReference w:type="default" r:id="rId12"/>
      <w:pgSz w:w="11900" w:h="16840"/>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264BF7" w14:textId="77777777" w:rsidR="0045362B" w:rsidRDefault="0045362B" w:rsidP="0045362B">
      <w:r>
        <w:separator/>
      </w:r>
    </w:p>
  </w:endnote>
  <w:endnote w:type="continuationSeparator" w:id="0">
    <w:p w14:paraId="2BCE6752" w14:textId="77777777" w:rsidR="0045362B" w:rsidRDefault="0045362B" w:rsidP="004536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Helvetica Neue">
    <w:panose1 w:val="02000503000000020004"/>
    <w:charset w:val="00"/>
    <w:family w:val="auto"/>
    <w:pitch w:val="variable"/>
    <w:sig w:usb0="80000067"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424151" w14:textId="77777777" w:rsidR="0045362B" w:rsidRDefault="0045362B" w:rsidP="005C79C6">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282C86F6" w14:textId="77777777" w:rsidR="0045362B" w:rsidRDefault="0045362B" w:rsidP="0045362B">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6F8C82" w14:textId="77777777" w:rsidR="0045362B" w:rsidRDefault="0045362B" w:rsidP="005C79C6">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1876C3">
      <w:rPr>
        <w:rStyle w:val="Numrodepage"/>
        <w:noProof/>
      </w:rPr>
      <w:t>1</w:t>
    </w:r>
    <w:r>
      <w:rPr>
        <w:rStyle w:val="Numrodepage"/>
      </w:rPr>
      <w:fldChar w:fldCharType="end"/>
    </w:r>
  </w:p>
  <w:p w14:paraId="4B7902DC" w14:textId="77777777" w:rsidR="0045362B" w:rsidRDefault="0045362B" w:rsidP="0045362B">
    <w:pPr>
      <w:pStyle w:val="Pieddepag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D2CD87" w14:textId="77777777" w:rsidR="0045362B" w:rsidRDefault="0045362B" w:rsidP="0045362B">
      <w:r>
        <w:separator/>
      </w:r>
    </w:p>
  </w:footnote>
  <w:footnote w:type="continuationSeparator" w:id="0">
    <w:p w14:paraId="7659A54E" w14:textId="77777777" w:rsidR="0045362B" w:rsidRDefault="0045362B" w:rsidP="0045362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AF74AFD"/>
    <w:multiLevelType w:val="hybridMultilevel"/>
    <w:tmpl w:val="62F48358"/>
    <w:lvl w:ilvl="0" w:tplc="0BD2DF70">
      <w:start w:val="3"/>
      <w:numFmt w:val="bullet"/>
      <w:lvlText w:val="-"/>
      <w:lvlJc w:val="left"/>
      <w:pPr>
        <w:ind w:left="720" w:hanging="360"/>
      </w:pPr>
      <w:rPr>
        <w:rFonts w:ascii="Times" w:eastAsiaTheme="minorEastAsia" w:hAnsi="Times"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621214B"/>
    <w:multiLevelType w:val="hybridMultilevel"/>
    <w:tmpl w:val="CA084A60"/>
    <w:lvl w:ilvl="0" w:tplc="630E8D96">
      <w:numFmt w:val="bullet"/>
      <w:lvlText w:val="-"/>
      <w:lvlJc w:val="left"/>
      <w:pPr>
        <w:ind w:left="720" w:hanging="360"/>
      </w:pPr>
      <w:rPr>
        <w:rFonts w:ascii="Times" w:hAnsi="Time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172F0C09"/>
    <w:multiLevelType w:val="hybridMultilevel"/>
    <w:tmpl w:val="B776ABA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4C4A7C23"/>
    <w:multiLevelType w:val="hybridMultilevel"/>
    <w:tmpl w:val="253230A2"/>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51B41B39"/>
    <w:multiLevelType w:val="hybridMultilevel"/>
    <w:tmpl w:val="208C25D2"/>
    <w:lvl w:ilvl="0" w:tplc="040C000F">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5ADD1240"/>
    <w:multiLevelType w:val="hybridMultilevel"/>
    <w:tmpl w:val="8604E13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62A93B6F"/>
    <w:multiLevelType w:val="hybridMultilevel"/>
    <w:tmpl w:val="B776ABA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68781170"/>
    <w:multiLevelType w:val="hybridMultilevel"/>
    <w:tmpl w:val="6D12AB7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6"/>
  </w:num>
  <w:num w:numId="2">
    <w:abstractNumId w:val="8"/>
  </w:num>
  <w:num w:numId="3">
    <w:abstractNumId w:val="4"/>
  </w:num>
  <w:num w:numId="4">
    <w:abstractNumId w:val="3"/>
  </w:num>
  <w:num w:numId="5">
    <w:abstractNumId w:val="7"/>
  </w:num>
  <w:num w:numId="6">
    <w:abstractNumId w:val="5"/>
  </w:num>
  <w:num w:numId="7">
    <w:abstractNumId w:val="1"/>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1B8"/>
    <w:rsid w:val="000F2F50"/>
    <w:rsid w:val="000F4DA2"/>
    <w:rsid w:val="001876C3"/>
    <w:rsid w:val="001F5E70"/>
    <w:rsid w:val="00224D12"/>
    <w:rsid w:val="002705C6"/>
    <w:rsid w:val="002707BF"/>
    <w:rsid w:val="00286F38"/>
    <w:rsid w:val="00295262"/>
    <w:rsid w:val="002B6F53"/>
    <w:rsid w:val="002F465E"/>
    <w:rsid w:val="0045362B"/>
    <w:rsid w:val="004A43F5"/>
    <w:rsid w:val="006A10ED"/>
    <w:rsid w:val="006C19DB"/>
    <w:rsid w:val="00763998"/>
    <w:rsid w:val="008C05C6"/>
    <w:rsid w:val="009972D4"/>
    <w:rsid w:val="009A42C6"/>
    <w:rsid w:val="00A25992"/>
    <w:rsid w:val="00A874ED"/>
    <w:rsid w:val="00B017EE"/>
    <w:rsid w:val="00B1110A"/>
    <w:rsid w:val="00B66EA0"/>
    <w:rsid w:val="00BB10BC"/>
    <w:rsid w:val="00BB3F63"/>
    <w:rsid w:val="00CF1E45"/>
    <w:rsid w:val="00D37285"/>
    <w:rsid w:val="00E7040B"/>
    <w:rsid w:val="00EA40B8"/>
    <w:rsid w:val="00F151B8"/>
    <w:rsid w:val="00F25CEA"/>
    <w:rsid w:val="00F31C4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824310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151B8"/>
    <w:pPr>
      <w:ind w:left="720"/>
      <w:contextualSpacing/>
    </w:pPr>
  </w:style>
  <w:style w:type="paragraph" w:styleId="Pieddepage">
    <w:name w:val="footer"/>
    <w:basedOn w:val="Normal"/>
    <w:link w:val="PieddepageCar"/>
    <w:uiPriority w:val="99"/>
    <w:unhideWhenUsed/>
    <w:rsid w:val="0045362B"/>
    <w:pPr>
      <w:tabs>
        <w:tab w:val="center" w:pos="4703"/>
        <w:tab w:val="right" w:pos="9406"/>
      </w:tabs>
    </w:pPr>
  </w:style>
  <w:style w:type="character" w:customStyle="1" w:styleId="PieddepageCar">
    <w:name w:val="Pied de page Car"/>
    <w:basedOn w:val="Policepardfaut"/>
    <w:link w:val="Pieddepage"/>
    <w:uiPriority w:val="99"/>
    <w:rsid w:val="0045362B"/>
  </w:style>
  <w:style w:type="character" w:styleId="Numrodepage">
    <w:name w:val="page number"/>
    <w:basedOn w:val="Policepardfaut"/>
    <w:uiPriority w:val="99"/>
    <w:semiHidden/>
    <w:unhideWhenUsed/>
    <w:rsid w:val="0045362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151B8"/>
    <w:pPr>
      <w:ind w:left="720"/>
      <w:contextualSpacing/>
    </w:pPr>
  </w:style>
  <w:style w:type="paragraph" w:styleId="Pieddepage">
    <w:name w:val="footer"/>
    <w:basedOn w:val="Normal"/>
    <w:link w:val="PieddepageCar"/>
    <w:uiPriority w:val="99"/>
    <w:unhideWhenUsed/>
    <w:rsid w:val="0045362B"/>
    <w:pPr>
      <w:tabs>
        <w:tab w:val="center" w:pos="4703"/>
        <w:tab w:val="right" w:pos="9406"/>
      </w:tabs>
    </w:pPr>
  </w:style>
  <w:style w:type="character" w:customStyle="1" w:styleId="PieddepageCar">
    <w:name w:val="Pied de page Car"/>
    <w:basedOn w:val="Policepardfaut"/>
    <w:link w:val="Pieddepage"/>
    <w:uiPriority w:val="99"/>
    <w:rsid w:val="0045362B"/>
  </w:style>
  <w:style w:type="character" w:styleId="Numrodepage">
    <w:name w:val="page number"/>
    <w:basedOn w:val="Policepardfaut"/>
    <w:uiPriority w:val="99"/>
    <w:semiHidden/>
    <w:unhideWhenUsed/>
    <w:rsid w:val="004536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chart" Target="charts/chart1.xml"/><Relationship Id="rId9" Type="http://schemas.openxmlformats.org/officeDocument/2006/relationships/chart" Target="charts/chart2.xml"/><Relationship Id="rId10"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oleObject" Target="Graphique%20dans%20Microsoft%20Office%20Word"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Classeur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Classeur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sz="1200">
                <a:latin typeface="Arial"/>
                <a:cs typeface="Arial"/>
              </a:defRPr>
            </a:pPr>
            <a:r>
              <a:rPr lang="fr-FR" sz="1200" dirty="0">
                <a:latin typeface="Arial"/>
                <a:cs typeface="Arial"/>
              </a:rPr>
              <a:t>Collecte 2015 en valeur : </a:t>
            </a:r>
            <a:r>
              <a:rPr lang="fr-FR" sz="1200" dirty="0" smtClean="0">
                <a:latin typeface="Arial"/>
                <a:cs typeface="Arial"/>
              </a:rPr>
              <a:t>262 978 € </a:t>
            </a:r>
          </a:p>
          <a:p>
            <a:pPr>
              <a:defRPr sz="1200">
                <a:latin typeface="Arial"/>
                <a:cs typeface="Arial"/>
              </a:defRPr>
            </a:pPr>
            <a:r>
              <a:rPr lang="fr-FR" sz="1200" dirty="0" smtClean="0">
                <a:solidFill>
                  <a:srgbClr val="008000"/>
                </a:solidFill>
                <a:latin typeface="Arial"/>
                <a:cs typeface="Arial"/>
              </a:rPr>
              <a:t>soit</a:t>
            </a:r>
            <a:r>
              <a:rPr lang="fr-FR" sz="1200" baseline="0" dirty="0" smtClean="0">
                <a:solidFill>
                  <a:srgbClr val="008000"/>
                </a:solidFill>
                <a:latin typeface="Arial"/>
                <a:cs typeface="Arial"/>
              </a:rPr>
              <a:t> </a:t>
            </a:r>
            <a:r>
              <a:rPr lang="fr-FR" sz="1200" dirty="0" smtClean="0">
                <a:solidFill>
                  <a:srgbClr val="008000"/>
                </a:solidFill>
                <a:latin typeface="Arial"/>
                <a:cs typeface="Arial"/>
              </a:rPr>
              <a:t>+</a:t>
            </a:r>
            <a:r>
              <a:rPr lang="fr-FR" sz="1200" baseline="0" dirty="0" smtClean="0">
                <a:solidFill>
                  <a:srgbClr val="008000"/>
                </a:solidFill>
                <a:latin typeface="Arial"/>
                <a:cs typeface="Arial"/>
              </a:rPr>
              <a:t> </a:t>
            </a:r>
            <a:r>
              <a:rPr lang="fr-FR" sz="1200" dirty="0" smtClean="0">
                <a:solidFill>
                  <a:srgbClr val="008000"/>
                </a:solidFill>
                <a:latin typeface="Arial"/>
                <a:cs typeface="Arial"/>
              </a:rPr>
              <a:t>539% (48 721€ en 2014)</a:t>
            </a:r>
            <a:endParaRPr lang="fr-FR" sz="1200" dirty="0">
              <a:solidFill>
                <a:srgbClr val="008000"/>
              </a:solidFill>
              <a:latin typeface="Arial"/>
              <a:cs typeface="Arial"/>
            </a:endParaRPr>
          </a:p>
        </c:rich>
      </c:tx>
      <c:layout>
        <c:manualLayout>
          <c:xMode val="edge"/>
          <c:yMode val="edge"/>
          <c:x val="0.262540367218018"/>
          <c:y val="0.0353611324345805"/>
        </c:manualLayout>
      </c:layout>
      <c:overlay val="0"/>
    </c:title>
    <c:autoTitleDeleted val="0"/>
    <c:plotArea>
      <c:layout/>
      <c:doughnutChart>
        <c:varyColors val="1"/>
        <c:ser>
          <c:idx val="0"/>
          <c:order val="0"/>
          <c:dLbls>
            <c:dLbl>
              <c:idx val="0"/>
              <c:layout>
                <c:manualLayout>
                  <c:x val="-0.153189909008979"/>
                  <c:y val="-0.0452133750894477"/>
                </c:manualLayout>
              </c:layout>
              <c:tx>
                <c:rich>
                  <a:bodyPr/>
                  <a:lstStyle/>
                  <a:p>
                    <a:r>
                      <a:rPr lang="fr-FR" sz="900" dirty="0">
                        <a:latin typeface="Arial"/>
                        <a:cs typeface="Arial"/>
                      </a:rPr>
                      <a:t>Particuliers
</a:t>
                    </a:r>
                    <a:r>
                      <a:rPr lang="fr-FR" sz="900" dirty="0" smtClean="0">
                        <a:latin typeface="Arial"/>
                        <a:cs typeface="Arial"/>
                      </a:rPr>
                      <a:t>111</a:t>
                    </a:r>
                    <a:r>
                      <a:rPr lang="fr-FR" sz="900" dirty="0">
                        <a:latin typeface="Arial"/>
                        <a:cs typeface="Arial"/>
                      </a:rPr>
                      <a:t> </a:t>
                    </a:r>
                    <a:r>
                      <a:rPr lang="fr-FR" sz="900" dirty="0" smtClean="0">
                        <a:latin typeface="Arial"/>
                        <a:cs typeface="Arial"/>
                      </a:rPr>
                      <a:t>378 </a:t>
                    </a:r>
                    <a:r>
                      <a:rPr lang="fr-FR" sz="900" dirty="0">
                        <a:latin typeface="Arial"/>
                        <a:cs typeface="Arial"/>
                      </a:rPr>
                      <a:t>€
42%</a:t>
                    </a:r>
                    <a:endParaRPr lang="fr-FR" dirty="0"/>
                  </a:p>
                </c:rich>
              </c:tx>
              <c:showLegendKey val="0"/>
              <c:showVal val="1"/>
              <c:showCatName val="1"/>
              <c:showSerName val="0"/>
              <c:showPercent val="1"/>
              <c:showBubbleSize val="0"/>
              <c:separator>
</c:separator>
            </c:dLbl>
            <c:dLbl>
              <c:idx val="1"/>
              <c:layout>
                <c:manualLayout>
                  <c:x val="0.185514385221882"/>
                  <c:y val="-0.0301422500596319"/>
                </c:manualLayout>
              </c:layout>
              <c:showLegendKey val="0"/>
              <c:showVal val="1"/>
              <c:showCatName val="1"/>
              <c:showSerName val="0"/>
              <c:showPercent val="1"/>
              <c:showBubbleSize val="0"/>
              <c:separator>
</c:separator>
            </c:dLbl>
            <c:dLbl>
              <c:idx val="2"/>
              <c:layout>
                <c:manualLayout>
                  <c:x val="0.24594710161992"/>
                  <c:y val="0.0678200626341716"/>
                </c:manualLayout>
              </c:layout>
              <c:showLegendKey val="0"/>
              <c:showVal val="1"/>
              <c:showCatName val="1"/>
              <c:showSerName val="0"/>
              <c:showPercent val="1"/>
              <c:showBubbleSize val="0"/>
              <c:separator>
</c:separator>
            </c:dLbl>
            <c:txPr>
              <a:bodyPr/>
              <a:lstStyle/>
              <a:p>
                <a:pPr>
                  <a:defRPr sz="900" b="1">
                    <a:latin typeface="Arial"/>
                    <a:cs typeface="Arial"/>
                  </a:defRPr>
                </a:pPr>
                <a:endParaRPr lang="fr-FR"/>
              </a:p>
            </c:txPr>
            <c:showLegendKey val="0"/>
            <c:showVal val="1"/>
            <c:showCatName val="1"/>
            <c:showSerName val="0"/>
            <c:showPercent val="1"/>
            <c:showBubbleSize val="0"/>
            <c:separator>
</c:separator>
            <c:showLeaderLines val="1"/>
          </c:dLbls>
          <c:cat>
            <c:strRef>
              <c:f>'[Graphique dans Microsoft Office Word]Feuil1'!$A$2:$A$4</c:f>
              <c:strCache>
                <c:ptCount val="3"/>
                <c:pt idx="0">
                  <c:v>Particuliers</c:v>
                </c:pt>
                <c:pt idx="1">
                  <c:v>Entreprises </c:v>
                </c:pt>
                <c:pt idx="2">
                  <c:v>Institutions</c:v>
                </c:pt>
              </c:strCache>
            </c:strRef>
          </c:cat>
          <c:val>
            <c:numRef>
              <c:f>'[Graphique dans Microsoft Office Word]Feuil1'!$B$2:$B$4</c:f>
              <c:numCache>
                <c:formatCode>#\ ##0\ "€"</c:formatCode>
                <c:ptCount val="3"/>
                <c:pt idx="0">
                  <c:v>109382.0</c:v>
                </c:pt>
                <c:pt idx="1">
                  <c:v>61600.0</c:v>
                </c:pt>
                <c:pt idx="2">
                  <c:v>90000.0</c:v>
                </c:pt>
              </c:numCache>
            </c:numRef>
          </c:val>
        </c:ser>
        <c:dLbls>
          <c:showLegendKey val="0"/>
          <c:showVal val="0"/>
          <c:showCatName val="1"/>
          <c:showSerName val="0"/>
          <c:showPercent val="1"/>
          <c:showBubbleSize val="0"/>
          <c:showLeaderLines val="1"/>
        </c:dLbls>
        <c:firstSliceAng val="230"/>
        <c:holeSize val="50"/>
      </c:doughnutChart>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plotArea>
      <c:layout/>
      <c:pieChart>
        <c:varyColors val="1"/>
        <c:ser>
          <c:idx val="0"/>
          <c:order val="0"/>
          <c:dLbls>
            <c:dLbl>
              <c:idx val="0"/>
              <c:layout>
                <c:manualLayout>
                  <c:x val="-0.000847069353137254"/>
                  <c:y val="-0.0284261633360812"/>
                </c:manualLayout>
              </c:layout>
              <c:tx>
                <c:rich>
                  <a:bodyPr/>
                  <a:lstStyle/>
                  <a:p>
                    <a:r>
                      <a:rPr lang="fr-FR" sz="900" b="1">
                        <a:latin typeface="Arial"/>
                        <a:cs typeface="Arial"/>
                      </a:rPr>
                      <a:t>Fond initiatives solidaires</a:t>
                    </a:r>
                  </a:p>
                  <a:p>
                    <a:r>
                      <a:rPr lang="fr-FR" sz="900" b="1">
                        <a:latin typeface="Arial"/>
                        <a:cs typeface="Arial"/>
                      </a:rPr>
                      <a:t> (11 813 €) 4%</a:t>
                    </a:r>
                    <a:endParaRPr lang="fr-FR"/>
                  </a:p>
                </c:rich>
              </c:tx>
              <c:showLegendKey val="0"/>
              <c:showVal val="1"/>
              <c:showCatName val="1"/>
              <c:showSerName val="0"/>
              <c:showPercent val="1"/>
              <c:showBubbleSize val="0"/>
              <c:separator>
</c:separator>
            </c:dLbl>
            <c:dLbl>
              <c:idx val="1"/>
              <c:layout>
                <c:manualLayout>
                  <c:x val="0.0742169509608598"/>
                  <c:y val="0.00373847941138505"/>
                </c:manualLayout>
              </c:layout>
              <c:tx>
                <c:rich>
                  <a:bodyPr/>
                  <a:lstStyle/>
                  <a:p>
                    <a:r>
                      <a:rPr lang="fr-FR" sz="900" b="1">
                        <a:latin typeface="Arial"/>
                        <a:cs typeface="Arial"/>
                      </a:rPr>
                      <a:t>Projets étudiants, (9 890 €) 3%</a:t>
                    </a:r>
                    <a:endParaRPr lang="fr-FR"/>
                  </a:p>
                </c:rich>
              </c:tx>
              <c:showLegendKey val="0"/>
              <c:showVal val="1"/>
              <c:showCatName val="1"/>
              <c:showSerName val="0"/>
              <c:showPercent val="1"/>
              <c:showBubbleSize val="0"/>
            </c:dLbl>
            <c:dLbl>
              <c:idx val="2"/>
              <c:layout>
                <c:manualLayout>
                  <c:x val="0.0471573010676791"/>
                  <c:y val="0.00363392280882922"/>
                </c:manualLayout>
              </c:layout>
              <c:tx>
                <c:rich>
                  <a:bodyPr/>
                  <a:lstStyle/>
                  <a:p>
                    <a:r>
                      <a:rPr lang="fr-FR" sz="900" b="1">
                        <a:latin typeface="Arial"/>
                        <a:cs typeface="Arial"/>
                      </a:rPr>
                      <a:t>Jeune Talent  (10 175 €) 4%</a:t>
                    </a:r>
                    <a:endParaRPr lang="fr-FR"/>
                  </a:p>
                </c:rich>
              </c:tx>
              <c:showLegendKey val="0"/>
              <c:showVal val="1"/>
              <c:showCatName val="1"/>
              <c:showSerName val="0"/>
              <c:showPercent val="1"/>
              <c:showBubbleSize val="0"/>
            </c:dLbl>
            <c:dLbl>
              <c:idx val="3"/>
              <c:layout>
                <c:manualLayout>
                  <c:x val="0.0304784701716228"/>
                  <c:y val="-0.00226745837098232"/>
                </c:manualLayout>
              </c:layout>
              <c:tx>
                <c:rich>
                  <a:bodyPr/>
                  <a:lstStyle/>
                  <a:p>
                    <a:r>
                      <a:rPr lang="fr-FR" sz="900" b="1">
                        <a:latin typeface="Arial"/>
                        <a:cs typeface="Arial"/>
                      </a:rPr>
                      <a:t>Seconde chance (10 000 €) 3%</a:t>
                    </a:r>
                    <a:endParaRPr lang="fr-FR"/>
                  </a:p>
                </c:rich>
              </c:tx>
              <c:showLegendKey val="0"/>
              <c:showVal val="1"/>
              <c:showCatName val="1"/>
              <c:showSerName val="0"/>
              <c:showPercent val="1"/>
              <c:showBubbleSize val="0"/>
            </c:dLbl>
            <c:dLbl>
              <c:idx val="4"/>
              <c:layout>
                <c:manualLayout>
                  <c:x val="0.0268627351762927"/>
                  <c:y val="0.0097963082483542"/>
                </c:manualLayout>
              </c:layout>
              <c:tx>
                <c:rich>
                  <a:bodyPr/>
                  <a:lstStyle/>
                  <a:p>
                    <a:r>
                      <a:rPr lang="fr-FR" sz="900" b="1">
                        <a:latin typeface="Arial"/>
                        <a:cs typeface="Arial"/>
                      </a:rPr>
                      <a:t>Handicap </a:t>
                    </a:r>
                  </a:p>
                  <a:p>
                    <a:r>
                      <a:rPr lang="fr-FR" sz="900" b="1">
                        <a:latin typeface="Arial"/>
                        <a:cs typeface="Arial"/>
                      </a:rPr>
                      <a:t>(5 917 €) 2%</a:t>
                    </a:r>
                    <a:endParaRPr lang="fr-FR"/>
                  </a:p>
                </c:rich>
              </c:tx>
              <c:showLegendKey val="0"/>
              <c:showVal val="1"/>
              <c:showCatName val="1"/>
              <c:showSerName val="0"/>
              <c:showPercent val="1"/>
              <c:showBubbleSize val="0"/>
              <c:separator>
</c:separator>
            </c:dLbl>
            <c:dLbl>
              <c:idx val="5"/>
              <c:layout>
                <c:manualLayout>
                  <c:x val="0.032285265616169"/>
                  <c:y val="0.0204770879049955"/>
                </c:manualLayout>
              </c:layout>
              <c:tx>
                <c:rich>
                  <a:bodyPr/>
                  <a:lstStyle/>
                  <a:p>
                    <a:r>
                      <a:rPr lang="fr-FR" sz="900" b="1">
                        <a:latin typeface="Arial"/>
                        <a:cs typeface="Arial"/>
                      </a:rPr>
                      <a:t>Bourses internationales  (13 240 €) 5%</a:t>
                    </a:r>
                    <a:endParaRPr lang="fr-FR"/>
                  </a:p>
                </c:rich>
              </c:tx>
              <c:showLegendKey val="0"/>
              <c:showVal val="1"/>
              <c:showCatName val="1"/>
              <c:showSerName val="0"/>
              <c:showPercent val="1"/>
              <c:showBubbleSize val="0"/>
            </c:dLbl>
            <c:dLbl>
              <c:idx val="6"/>
              <c:layout>
                <c:manualLayout>
                  <c:x val="0.0374637110019237"/>
                  <c:y val="0.0652027881760681"/>
                </c:manualLayout>
              </c:layout>
              <c:tx>
                <c:rich>
                  <a:bodyPr/>
                  <a:lstStyle/>
                  <a:p>
                    <a:r>
                      <a:rPr lang="fr-FR" sz="900" b="1">
                        <a:latin typeface="Arial"/>
                        <a:cs typeface="Arial"/>
                      </a:rPr>
                      <a:t>Versailles Science Lab (12 390 €) 4%</a:t>
                    </a:r>
                    <a:endParaRPr lang="fr-FR"/>
                  </a:p>
                </c:rich>
              </c:tx>
              <c:showLegendKey val="0"/>
              <c:showVal val="1"/>
              <c:showCatName val="1"/>
              <c:showSerName val="0"/>
              <c:showPercent val="1"/>
              <c:showBubbleSize val="0"/>
            </c:dLbl>
            <c:dLbl>
              <c:idx val="7"/>
              <c:layout>
                <c:manualLayout>
                  <c:x val="-0.0379320036903627"/>
                  <c:y val="0.00455311122321419"/>
                </c:manualLayout>
              </c:layout>
              <c:tx>
                <c:rich>
                  <a:bodyPr/>
                  <a:lstStyle/>
                  <a:p>
                    <a:r>
                      <a:rPr lang="fr-FR" sz="900" b="1">
                        <a:latin typeface="Arial"/>
                        <a:cs typeface="Arial"/>
                      </a:rPr>
                      <a:t>Cluster Alumni (43 431 €) 15%</a:t>
                    </a:r>
                    <a:endParaRPr lang="fr-FR"/>
                  </a:p>
                </c:rich>
              </c:tx>
              <c:showLegendKey val="0"/>
              <c:showVal val="1"/>
              <c:showCatName val="1"/>
              <c:showSerName val="0"/>
              <c:showPercent val="1"/>
              <c:showBubbleSize val="0"/>
            </c:dLbl>
            <c:dLbl>
              <c:idx val="8"/>
              <c:layout>
                <c:manualLayout>
                  <c:x val="0.207406807406969"/>
                  <c:y val="0.0395282170508631"/>
                </c:manualLayout>
              </c:layout>
              <c:tx>
                <c:rich>
                  <a:bodyPr/>
                  <a:lstStyle/>
                  <a:p>
                    <a:r>
                      <a:rPr lang="fr-FR" sz="900" b="1" dirty="0">
                        <a:latin typeface="Arial"/>
                        <a:cs typeface="Arial"/>
                      </a:rPr>
                      <a:t>Bibliothèque </a:t>
                    </a:r>
                    <a:r>
                      <a:rPr lang="fr-FR" sz="900" b="1" dirty="0" smtClean="0">
                        <a:latin typeface="Arial"/>
                        <a:cs typeface="Arial"/>
                      </a:rPr>
                      <a:t/>
                    </a:r>
                    <a:br>
                      <a:rPr lang="fr-FR" sz="900" b="1" dirty="0" smtClean="0">
                        <a:latin typeface="Arial"/>
                        <a:cs typeface="Arial"/>
                      </a:rPr>
                    </a:br>
                    <a:r>
                      <a:rPr lang="fr-FR" sz="900" b="1" dirty="0" smtClean="0">
                        <a:latin typeface="Arial"/>
                        <a:cs typeface="Arial"/>
                      </a:rPr>
                      <a:t>(</a:t>
                    </a:r>
                    <a:r>
                      <a:rPr lang="fr-FR" sz="900" b="1" dirty="0">
                        <a:latin typeface="Arial"/>
                        <a:cs typeface="Arial"/>
                      </a:rPr>
                      <a:t>177 034 €) 60%</a:t>
                    </a:r>
                    <a:endParaRPr lang="fr-FR" dirty="0"/>
                  </a:p>
                </c:rich>
              </c:tx>
              <c:showLegendKey val="0"/>
              <c:showVal val="1"/>
              <c:showCatName val="1"/>
              <c:showSerName val="0"/>
              <c:showPercent val="1"/>
              <c:showBubbleSize val="0"/>
            </c:dLbl>
            <c:txPr>
              <a:bodyPr/>
              <a:lstStyle/>
              <a:p>
                <a:pPr>
                  <a:defRPr sz="900" b="1">
                    <a:latin typeface="Arial"/>
                    <a:cs typeface="Arial"/>
                  </a:defRPr>
                </a:pPr>
                <a:endParaRPr lang="fr-FR"/>
              </a:p>
            </c:txPr>
            <c:showLegendKey val="0"/>
            <c:showVal val="1"/>
            <c:showCatName val="1"/>
            <c:showSerName val="0"/>
            <c:showPercent val="1"/>
            <c:showBubbleSize val="0"/>
            <c:showLeaderLines val="1"/>
          </c:dLbls>
          <c:cat>
            <c:strRef>
              <c:f>Feuil1!$A$2:$A$10</c:f>
              <c:strCache>
                <c:ptCount val="9"/>
                <c:pt idx="0">
                  <c:v>Fond initiatives solidaires</c:v>
                </c:pt>
                <c:pt idx="1">
                  <c:v>Projets étudiants</c:v>
                </c:pt>
                <c:pt idx="2">
                  <c:v>Jeune Talent  </c:v>
                </c:pt>
                <c:pt idx="3">
                  <c:v>Seconde chance</c:v>
                </c:pt>
                <c:pt idx="4">
                  <c:v>Handicap </c:v>
                </c:pt>
                <c:pt idx="5">
                  <c:v>Bourses internationales</c:v>
                </c:pt>
                <c:pt idx="6">
                  <c:v>Versailles Science Lab</c:v>
                </c:pt>
                <c:pt idx="7">
                  <c:v>Cluster Alumni</c:v>
                </c:pt>
                <c:pt idx="8">
                  <c:v>Bibliothèque</c:v>
                </c:pt>
              </c:strCache>
            </c:strRef>
          </c:cat>
          <c:val>
            <c:numRef>
              <c:f>Feuil1!$B$2:$B$10</c:f>
              <c:numCache>
                <c:formatCode>#\ ##0\ "€"</c:formatCode>
                <c:ptCount val="9"/>
                <c:pt idx="0">
                  <c:v>11813.0</c:v>
                </c:pt>
                <c:pt idx="1">
                  <c:v>9889.9</c:v>
                </c:pt>
                <c:pt idx="2">
                  <c:v>10174.55</c:v>
                </c:pt>
                <c:pt idx="3">
                  <c:v>10000.0</c:v>
                </c:pt>
                <c:pt idx="4">
                  <c:v>5917.0</c:v>
                </c:pt>
                <c:pt idx="5">
                  <c:v>13240.0</c:v>
                </c:pt>
                <c:pt idx="6">
                  <c:v>12390.0</c:v>
                </c:pt>
                <c:pt idx="7">
                  <c:v>43431.12</c:v>
                </c:pt>
                <c:pt idx="8">
                  <c:v>177034.4</c:v>
                </c:pt>
              </c:numCache>
            </c:numRef>
          </c:val>
        </c:ser>
        <c:dLbls>
          <c:showLegendKey val="0"/>
          <c:showVal val="0"/>
          <c:showCatName val="1"/>
          <c:showSerName val="0"/>
          <c:showPercent val="1"/>
          <c:showBubbleSize val="0"/>
          <c:showLeaderLines val="1"/>
        </c:dLbls>
        <c:firstSliceAng val="35"/>
      </c:pieChart>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sz="1200">
                <a:latin typeface="Arial"/>
                <a:cs typeface="Arial"/>
              </a:defRPr>
            </a:pPr>
            <a:r>
              <a:rPr lang="fr-FR" sz="1200">
                <a:latin typeface="Arial"/>
                <a:cs typeface="Arial"/>
              </a:rPr>
              <a:t>Dépenses 2015</a:t>
            </a:r>
          </a:p>
        </c:rich>
      </c:tx>
      <c:layout>
        <c:manualLayout>
          <c:xMode val="edge"/>
          <c:yMode val="edge"/>
          <c:x val="0.0880666288773775"/>
          <c:y val="0.059936321141225"/>
        </c:manualLayout>
      </c:layout>
      <c:overlay val="0"/>
    </c:title>
    <c:autoTitleDeleted val="0"/>
    <c:plotArea>
      <c:layout/>
      <c:pieChart>
        <c:varyColors val="1"/>
        <c:ser>
          <c:idx val="0"/>
          <c:order val="0"/>
          <c:dLbls>
            <c:dLbl>
              <c:idx val="0"/>
              <c:layout>
                <c:manualLayout>
                  <c:x val="0.0397540702993024"/>
                  <c:y val="0.008751316888164"/>
                </c:manualLayout>
              </c:layout>
              <c:showLegendKey val="0"/>
              <c:showVal val="1"/>
              <c:showCatName val="1"/>
              <c:showSerName val="0"/>
              <c:showPercent val="1"/>
              <c:showBubbleSize val="0"/>
              <c:separator>
</c:separator>
            </c:dLbl>
            <c:dLbl>
              <c:idx val="1"/>
              <c:layout>
                <c:manualLayout>
                  <c:x val="-0.0441384353759221"/>
                  <c:y val="-0.0136952321143906"/>
                </c:manualLayout>
              </c:layout>
              <c:tx>
                <c:rich>
                  <a:bodyPr/>
                  <a:lstStyle/>
                  <a:p>
                    <a:r>
                      <a:rPr lang="fr-FR" sz="900" dirty="0">
                        <a:latin typeface="Arial"/>
                        <a:cs typeface="Arial"/>
                      </a:rPr>
                      <a:t>Frais de fonctionnement
</a:t>
                    </a:r>
                    <a:r>
                      <a:rPr lang="fr-FR" sz="900" dirty="0" smtClean="0">
                        <a:latin typeface="Arial"/>
                        <a:cs typeface="Arial"/>
                      </a:rPr>
                      <a:t>38 181,31</a:t>
                    </a:r>
                    <a:r>
                      <a:rPr lang="fr-FR" sz="900" dirty="0">
                        <a:latin typeface="Arial"/>
                        <a:cs typeface="Arial"/>
                      </a:rPr>
                      <a:t>
12%</a:t>
                    </a:r>
                    <a:endParaRPr lang="fr-FR" dirty="0"/>
                  </a:p>
                </c:rich>
              </c:tx>
              <c:showLegendKey val="0"/>
              <c:showVal val="1"/>
              <c:showCatName val="1"/>
              <c:showSerName val="0"/>
              <c:showPercent val="1"/>
              <c:showBubbleSize val="0"/>
              <c:separator>
</c:separator>
            </c:dLbl>
            <c:dLbl>
              <c:idx val="2"/>
              <c:layout>
                <c:manualLayout>
                  <c:x val="-0.0220781634592168"/>
                  <c:y val="0.0141222646248973"/>
                </c:manualLayout>
              </c:layout>
              <c:showLegendKey val="0"/>
              <c:showVal val="1"/>
              <c:showCatName val="1"/>
              <c:showSerName val="0"/>
              <c:showPercent val="1"/>
              <c:showBubbleSize val="0"/>
              <c:separator>
</c:separator>
            </c:dLbl>
            <c:txPr>
              <a:bodyPr/>
              <a:lstStyle/>
              <a:p>
                <a:pPr>
                  <a:defRPr sz="900" b="1">
                    <a:latin typeface="Arial"/>
                    <a:cs typeface="Arial"/>
                  </a:defRPr>
                </a:pPr>
                <a:endParaRPr lang="fr-FR"/>
              </a:p>
            </c:txPr>
            <c:showLegendKey val="0"/>
            <c:showVal val="1"/>
            <c:showCatName val="1"/>
            <c:showSerName val="0"/>
            <c:showPercent val="1"/>
            <c:showBubbleSize val="0"/>
            <c:separator>
</c:separator>
            <c:showLeaderLines val="1"/>
          </c:dLbls>
          <c:cat>
            <c:strRef>
              <c:f>Feuil1!$A$74:$A$76</c:f>
              <c:strCache>
                <c:ptCount val="3"/>
                <c:pt idx="0">
                  <c:v>Missions sociales</c:v>
                </c:pt>
                <c:pt idx="1">
                  <c:v>Frais de fonctionnement</c:v>
                </c:pt>
                <c:pt idx="2">
                  <c:v>Frais de recherche de fonds</c:v>
                </c:pt>
              </c:strCache>
            </c:strRef>
          </c:cat>
          <c:val>
            <c:numRef>
              <c:f>Feuil1!$B$74:$B$76</c:f>
              <c:numCache>
                <c:formatCode>0.00</c:formatCode>
                <c:ptCount val="3"/>
                <c:pt idx="0" formatCode="&quot;€&quot;#,##0.00_);[Red]\(&quot;€&quot;#,##0.00\)">
                  <c:v>231420.64</c:v>
                </c:pt>
                <c:pt idx="1">
                  <c:v>39108.282</c:v>
                </c:pt>
                <c:pt idx="2" formatCode="&quot;€&quot;#,##0.00_);[Red]\(&quot;€&quot;#,##0.00\)">
                  <c:v>26072.188</c:v>
                </c:pt>
              </c:numCache>
            </c:numRef>
          </c:val>
        </c:ser>
        <c:dLbls>
          <c:showLegendKey val="0"/>
          <c:showVal val="0"/>
          <c:showCatName val="1"/>
          <c:showSerName val="0"/>
          <c:showPercent val="1"/>
          <c:showBubbleSize val="0"/>
          <c:showLeaderLines val="1"/>
        </c:dLbls>
        <c:firstSliceAng val="300"/>
      </c:pieChart>
    </c:plotArea>
    <c:plotVisOnly val="1"/>
    <c:dispBlanksAs val="gap"/>
    <c:showDLblsOverMax val="0"/>
  </c:chart>
  <c:externalData r:id="rId1">
    <c:autoUpdate val="0"/>
  </c:externalData>
</c:chartSpace>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268</TotalTime>
  <Pages>5</Pages>
  <Words>1238</Words>
  <Characters>6811</Characters>
  <Application>Microsoft Macintosh Word</Application>
  <DocSecurity>0</DocSecurity>
  <Lines>56</Lines>
  <Paragraphs>16</Paragraphs>
  <ScaleCrop>false</ScaleCrop>
  <Company>Université de Versailles</Company>
  <LinksUpToDate>false</LinksUpToDate>
  <CharactersWithSpaces>8033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Véronique Raoult</dc:creator>
  <cp:keywords/>
  <dc:description/>
  <cp:lastModifiedBy>Véronique Raoult</cp:lastModifiedBy>
  <cp:revision>32</cp:revision>
  <cp:lastPrinted>2016-03-31T09:53:00Z</cp:lastPrinted>
  <dcterms:created xsi:type="dcterms:W3CDTF">2016-03-21T11:55:00Z</dcterms:created>
  <dcterms:modified xsi:type="dcterms:W3CDTF">2016-03-31T16:14:00Z</dcterms:modified>
</cp:coreProperties>
</file>